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wmf" ContentType="image/x-wmf"/>
  <Override PartName="/word/media/image5.png" ContentType="image/png"/>
  <Override PartName="/word/media/image4.wmf" ContentType="image/x-wmf"/>
  <Override PartName="/word/media/image6.png" ContentType="image/png"/>
  <Override PartName="/word/media/image7.png" ContentType="image/png"/>
  <Override PartName="/word/media/image8.png" ContentType="image/pn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bCs/>
          <w:i/>
          <w:i/>
          <w:iCs/>
        </w:rPr>
      </w:pPr>
      <w:r>
        <w:rPr>
          <w:rFonts w:cs="Arial"/>
          <w:b/>
          <w:bCs/>
          <w:i/>
          <w:iCs/>
        </w:rPr>
        <w:t>Općina Dragalić</w:t>
      </w:r>
    </w:p>
    <w:p>
      <w:pPr>
        <w:pStyle w:val="Normal"/>
        <w:jc w:val="center"/>
        <w:rPr>
          <w:rFonts w:cs="Arial"/>
        </w:rPr>
      </w:pPr>
      <w:r>
        <w:rPr>
          <w:rFonts w:cs="Arial"/>
        </w:rPr>
      </w:r>
    </w:p>
    <w:p>
      <w:pPr>
        <w:pStyle w:val="Normal"/>
        <w:jc w:val="center"/>
        <w:rPr>
          <w:rFonts w:cs="Arial"/>
        </w:rPr>
      </w:pPr>
      <w:r>
        <w:rPr>
          <w:rFonts w:cs="Arial"/>
        </w:rPr>
      </w:r>
    </w:p>
    <w:p>
      <w:pPr>
        <w:pStyle w:val="Normal"/>
        <w:jc w:val="center"/>
        <w:rPr>
          <w:rFonts w:cs="Arial"/>
        </w:rPr>
      </w:pPr>
      <w:r>
        <w:rPr>
          <w:rFonts w:cs="Arial"/>
        </w:rPr>
      </w:r>
    </w:p>
    <w:p>
      <w:pPr>
        <w:pStyle w:val="Normal"/>
        <w:jc w:val="center"/>
        <w:rPr>
          <w:rFonts w:cs="Arial"/>
        </w:rPr>
      </w:pPr>
      <w:r>
        <w:rPr>
          <w:rFonts w:cs="Arial"/>
        </w:rPr>
      </w:r>
    </w:p>
    <w:p>
      <w:pPr>
        <w:pStyle w:val="Normal"/>
        <w:jc w:val="center"/>
        <w:rPr>
          <w:rFonts w:cs="Arial"/>
          <w:b/>
          <w:b/>
          <w:i/>
          <w:i/>
          <w:u w:val="single"/>
        </w:rPr>
      </w:pPr>
      <w:r>
        <w:rPr>
          <w:rFonts w:cs="Arial"/>
          <w:b/>
          <w:i/>
          <w:u w:val="single"/>
        </w:rPr>
      </w:r>
    </w:p>
    <w:p>
      <w:pPr>
        <w:pStyle w:val="Normal"/>
        <w:jc w:val="center"/>
        <w:rPr>
          <w:rFonts w:cs="Arial"/>
          <w:sz w:val="48"/>
          <w:szCs w:val="48"/>
        </w:rPr>
      </w:pPr>
      <w:r>
        <w:rPr>
          <w:rFonts w:cs="Arial"/>
          <w:sz w:val="48"/>
          <w:szCs w:val="48"/>
        </w:rPr>
        <w:t>PLAN GOSPODARENJA OTPADOM</w:t>
      </w:r>
    </w:p>
    <w:p>
      <w:pPr>
        <w:pStyle w:val="Normal"/>
        <w:jc w:val="center"/>
        <w:rPr>
          <w:rFonts w:cs="Arial"/>
          <w:sz w:val="48"/>
          <w:szCs w:val="48"/>
        </w:rPr>
      </w:pPr>
      <w:r>
        <w:rPr>
          <w:rFonts w:cs="Arial"/>
          <w:sz w:val="48"/>
          <w:szCs w:val="48"/>
        </w:rPr>
        <w:t>ZA RAZDOBLJE</w:t>
      </w:r>
    </w:p>
    <w:p>
      <w:pPr>
        <w:pStyle w:val="Normal"/>
        <w:jc w:val="center"/>
        <w:rPr>
          <w:rFonts w:cs="Arial"/>
          <w:sz w:val="48"/>
          <w:szCs w:val="48"/>
        </w:rPr>
      </w:pPr>
      <w:r>
        <w:rPr>
          <w:rFonts w:cs="Arial"/>
          <w:sz w:val="48"/>
          <w:szCs w:val="48"/>
        </w:rPr>
        <w:t>2017.-2022. GODINE</w:t>
      </w:r>
    </w:p>
    <w:p>
      <w:pPr>
        <w:pStyle w:val="Normal"/>
        <w:jc w:val="center"/>
        <w:rPr>
          <w:rFonts w:cs="Arial"/>
        </w:rPr>
      </w:pPr>
      <w:r>
        <w:rPr>
          <w:rFonts w:cs="Arial"/>
        </w:rPr>
      </w:r>
    </w:p>
    <w:p>
      <w:pPr>
        <w:pStyle w:val="Normal"/>
        <w:rPr>
          <w:rFonts w:cs="Arial"/>
        </w:rPr>
      </w:pPr>
      <w:r>
        <w:rPr>
          <w:rFonts w:cs="Arial"/>
        </w:rPr>
      </w:r>
    </w:p>
    <w:p>
      <w:pPr>
        <w:pStyle w:val="Normal"/>
        <w:jc w:val="center"/>
        <w:rPr/>
      </w:pPr>
      <w:r>
        <w:rPr/>
        <w:drawing>
          <wp:anchor behindDoc="0" distT="0" distB="0" distL="0" distR="0" simplePos="0" locked="0" layoutInCell="1" allowOverlap="1" relativeHeight="15">
            <wp:simplePos x="0" y="0"/>
            <wp:positionH relativeFrom="column">
              <wp:align>center</wp:align>
            </wp:positionH>
            <wp:positionV relativeFrom="paragraph">
              <wp:posOffset>635</wp:posOffset>
            </wp:positionV>
            <wp:extent cx="5760720" cy="2372360"/>
            <wp:effectExtent l="0" t="0" r="0" b="0"/>
            <wp:wrapSquare wrapText="largest"/>
            <wp:docPr id="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descr=""/>
                    <pic:cNvPicPr>
                      <a:picLocks noChangeAspect="1" noChangeArrowheads="1"/>
                    </pic:cNvPicPr>
                  </pic:nvPicPr>
                  <pic:blipFill>
                    <a:blip r:embed="rId2"/>
                    <a:stretch>
                      <a:fillRect/>
                    </a:stretch>
                  </pic:blipFill>
                  <pic:spPr bwMode="auto">
                    <a:xfrm>
                      <a:off x="0" y="0"/>
                      <a:ext cx="5760720" cy="2372360"/>
                    </a:xfrm>
                    <a:prstGeom prst="rect">
                      <a:avLst/>
                    </a:prstGeom>
                  </pic:spPr>
                </pic:pic>
              </a:graphicData>
            </a:graphic>
          </wp:anchor>
        </w:drawing>
      </w:r>
    </w:p>
    <w:p>
      <w:pPr>
        <w:pStyle w:val="Normal"/>
        <w:jc w:val="center"/>
        <w:rPr>
          <w:rFonts w:cs="Arial"/>
        </w:rPr>
      </w:pPr>
      <w:r>
        <w:rPr>
          <w:rFonts w:cs="Arial"/>
        </w:rPr>
      </w:r>
    </w:p>
    <w:p>
      <w:pPr>
        <w:pStyle w:val="Normal"/>
        <w:jc w:val="center"/>
        <w:rPr>
          <w:rFonts w:cs="Arial"/>
        </w:rPr>
      </w:pPr>
      <w:r>
        <w:rPr>
          <w:rFonts w:cs="Arial"/>
        </w:rPr>
      </w:r>
    </w:p>
    <w:p>
      <w:pPr>
        <w:pStyle w:val="Normal"/>
        <w:jc w:val="center"/>
        <w:rPr>
          <w:rFonts w:cs="Arial"/>
        </w:rPr>
      </w:pPr>
      <w:r>
        <w:rPr>
          <w:rFonts w:cs="Arial"/>
        </w:rPr>
      </w:r>
    </w:p>
    <w:p>
      <w:pPr>
        <w:pStyle w:val="Normal"/>
        <w:rPr>
          <w:rFonts w:cs="Arial"/>
        </w:rPr>
      </w:pPr>
      <w:r>
        <w:rPr>
          <w:rFonts w:cs="Arial"/>
        </w:rPr>
      </w:r>
    </w:p>
    <w:p>
      <w:pPr>
        <w:pStyle w:val="Normal"/>
        <w:rPr>
          <w:rFonts w:cs="Arial"/>
        </w:rPr>
      </w:pPr>
      <w:r>
        <w:rPr>
          <w:rFonts w:cs="Arial"/>
        </w:rPr>
      </w:r>
    </w:p>
    <w:p>
      <w:pPr>
        <w:pStyle w:val="Normal"/>
        <w:rPr>
          <w:rFonts w:cs="Arial"/>
        </w:rPr>
      </w:pPr>
      <w:r>
        <w:rPr>
          <w:rFonts w:cs="Arial"/>
        </w:rPr>
      </w:r>
    </w:p>
    <w:p>
      <w:pPr>
        <w:pStyle w:val="Normal"/>
        <w:rPr>
          <w:rFonts w:cs="Arial"/>
        </w:rPr>
      </w:pPr>
      <w:r>
        <w:rPr>
          <w:rFonts w:cs="Arial"/>
        </w:rPr>
      </w:r>
    </w:p>
    <w:p>
      <w:pPr>
        <w:pStyle w:val="Normal"/>
        <w:rPr>
          <w:rFonts w:cs="Arial"/>
        </w:rPr>
      </w:pPr>
      <w:r>
        <w:rPr>
          <w:rFonts w:cs="Arial"/>
        </w:rPr>
      </w:r>
    </w:p>
    <w:p>
      <w:pPr>
        <w:pStyle w:val="Normal"/>
        <w:jc w:val="center"/>
        <w:rPr/>
      </w:pPr>
      <w:r>
        <w:rPr>
          <w:rFonts w:cs="Arial"/>
        </w:rPr>
        <w:t>Dragalić, ožujak 2017. godine</w:t>
      </w:r>
    </w:p>
    <w:p>
      <w:pPr>
        <w:pStyle w:val="Normal"/>
        <w:jc w:val="center"/>
        <w:rPr/>
      </w:pPr>
      <w:r>
        <w:rPr/>
      </w:r>
    </w:p>
    <w:p>
      <w:pPr>
        <w:pStyle w:val="NormalWeb"/>
        <w:jc w:val="center"/>
        <w:rPr/>
      </w:pPr>
      <w:r>
        <w:rPr>
          <w:rFonts w:cs="Arial" w:ascii="Arial" w:hAnsi="Arial"/>
          <w:sz w:val="22"/>
          <w:szCs w:val="22"/>
        </w:rPr>
        <w:t>Naručitelj: Općina Dragalić</w:t>
      </w:r>
      <w:r>
        <w:rPr>
          <w:rFonts w:cs="Arial" w:ascii="Arial" w:hAnsi="Arial"/>
          <w:b/>
          <w:bCs/>
          <w:sz w:val="22"/>
          <w:szCs w:val="22"/>
        </w:rPr>
        <w:t xml:space="preserve">, </w:t>
      </w:r>
      <w:r>
        <w:rPr>
          <w:rFonts w:cs="Arial" w:ascii="Arial" w:hAnsi="Arial"/>
          <w:sz w:val="22"/>
          <w:szCs w:val="22"/>
        </w:rPr>
        <w:t>Trg Svetog Ivana Krstitelja 2., Dragalić</w:t>
      </w:r>
    </w:p>
    <w:p>
      <w:pPr>
        <w:pStyle w:val="NormalWeb"/>
        <w:jc w:val="center"/>
        <w:rPr/>
      </w:pPr>
      <w:r>
        <w:rPr>
          <w:rFonts w:cs="Arial" w:ascii="Arial" w:hAnsi="Arial"/>
          <w:sz w:val="22"/>
          <w:szCs w:val="22"/>
        </w:rPr>
        <w:t xml:space="preserve">Email: </w:t>
      </w:r>
      <w:hyperlink r:id="rId3">
        <w:r>
          <w:rPr>
            <w:rStyle w:val="InternetLink"/>
            <w:rFonts w:cs="Arial" w:ascii="Arial" w:hAnsi="Arial"/>
            <w:sz w:val="22"/>
            <w:szCs w:val="22"/>
          </w:rPr>
          <w:t>opcinadragalic@sb.t-com.hr</w:t>
        </w:r>
      </w:hyperlink>
      <w:r>
        <w:rPr>
          <w:rFonts w:cs="Arial" w:ascii="Arial" w:hAnsi="Arial"/>
          <w:sz w:val="22"/>
          <w:szCs w:val="22"/>
        </w:rPr>
        <w:t>,  Telefon: 035 / 376 236   Fax: 035 / 376 237</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Fonts w:cs="Arial"/>
          <w:b/>
          <w:sz w:val="24"/>
          <w:szCs w:val="24"/>
        </w:rPr>
        <w:t xml:space="preserve">PREDMET: </w:t>
        <w:tab/>
        <w:t xml:space="preserve">PLAN GOSPODARENJA OTPADOM OPĆINE DRAGALIĆ ZA </w:t>
        <w:tab/>
        <w:tab/>
        <w:tab/>
        <w:t xml:space="preserve">    RAZDOBLJE  OD  2017. DO 2022. GODINE</w:t>
      </w:r>
    </w:p>
    <w:p>
      <w:pPr>
        <w:pStyle w:val="Normal"/>
        <w:ind w:firstLine="708"/>
        <w:rPr>
          <w:rFonts w:cs="Arial"/>
        </w:rPr>
      </w:pPr>
      <w:r>
        <w:rPr>
          <w:rFonts w:cs="Arial"/>
        </w:rPr>
      </w:r>
    </w:p>
    <w:p>
      <w:pPr>
        <w:pStyle w:val="Normal"/>
        <w:rPr/>
      </w:pPr>
      <w:r>
        <w:rPr>
          <w:rFonts w:cs="Arial"/>
        </w:rPr>
        <w:t>Oznaka dokumenta:  RN/2017- 03/PGO</w:t>
      </w:r>
    </w:p>
    <w:p>
      <w:pPr>
        <w:pStyle w:val="Normal"/>
        <w:rPr>
          <w:rFonts w:cs="Arial"/>
        </w:rPr>
      </w:pPr>
      <w:r>
        <w:rPr>
          <w:rFonts w:cs="Arial"/>
        </w:rPr>
      </w:r>
    </w:p>
    <w:p>
      <w:pPr>
        <w:pStyle w:val="Normal"/>
        <w:rPr>
          <w:rFonts w:cs="Arial"/>
        </w:rPr>
      </w:pPr>
      <w:r>
        <w:rPr>
          <w:rFonts w:cs="Arial"/>
        </w:rPr>
        <w:t>Izrađivač:  EKO SAVJETNIK d.o.o., Slavonski Brod</w:t>
      </w:r>
    </w:p>
    <w:p>
      <w:pPr>
        <w:pStyle w:val="Normal"/>
        <w:rPr>
          <w:rFonts w:cs="Arial"/>
        </w:rPr>
      </w:pPr>
      <w:r>
        <w:rPr>
          <w:rFonts w:cs="Arial"/>
        </w:rPr>
      </w:r>
    </w:p>
    <w:p>
      <w:pPr>
        <w:pStyle w:val="Normal"/>
        <w:rPr>
          <w:rFonts w:cs="Arial"/>
        </w:rPr>
      </w:pPr>
      <w:r>
        <w:rPr>
          <w:rFonts w:cs="Arial"/>
        </w:rPr>
        <w:t xml:space="preserve">Voditelj izrade: Viktorija Teskera Sučić, dipl.ing.stroj.                   </w:t>
      </w:r>
    </w:p>
    <w:p>
      <w:pPr>
        <w:pStyle w:val="Normal"/>
        <w:rPr>
          <w:rFonts w:cs="Arial"/>
        </w:rPr>
      </w:pPr>
      <w:r>
        <w:rPr>
          <w:rFonts w:cs="Arial"/>
        </w:rPr>
      </w:r>
    </w:p>
    <w:p>
      <w:pPr>
        <w:pStyle w:val="Normal"/>
        <w:rPr>
          <w:rFonts w:cs="Arial"/>
        </w:rPr>
      </w:pPr>
      <w:r>
        <w:rPr>
          <w:rFonts w:cs="Arial"/>
        </w:rPr>
        <w:t xml:space="preserve">Suradnici:  </w:t>
        <w:tab/>
        <w:t>Miroslav Maričić, spec.ing.zaštite okoliša</w:t>
      </w:r>
    </w:p>
    <w:p>
      <w:pPr>
        <w:pStyle w:val="Normal"/>
        <w:rPr>
          <w:rFonts w:cs="Arial"/>
        </w:rPr>
      </w:pPr>
      <w:r>
        <w:rPr>
          <w:rFonts w:cs="Arial"/>
        </w:rPr>
      </w:r>
    </w:p>
    <w:p>
      <w:pPr>
        <w:pStyle w:val="Normal"/>
        <w:rPr>
          <w:rFonts w:cs="Arial"/>
        </w:rPr>
      </w:pPr>
      <w:r>
        <w:rPr>
          <w:rFonts w:cs="Arial"/>
        </w:rPr>
        <w:tab/>
        <w:t xml:space="preserve">       </w:t>
        <w:tab/>
        <w:t>Marina Čuljak, bacc.ing.sig.</w:t>
      </w:r>
    </w:p>
    <w:p>
      <w:pPr>
        <w:pStyle w:val="Normal"/>
        <w:rPr>
          <w:rFonts w:cs="Arial"/>
        </w:rPr>
      </w:pPr>
      <w:r>
        <w:rPr>
          <w:rFonts w:cs="Arial"/>
        </w:rPr>
      </w:r>
    </w:p>
    <w:p>
      <w:pPr>
        <w:pStyle w:val="Normal"/>
        <w:rPr>
          <w:rFonts w:cs="Arial"/>
        </w:rPr>
      </w:pPr>
      <w:r>
        <w:rPr>
          <w:rFonts w:cs="Arial"/>
        </w:rPr>
        <w:tab/>
        <w:t xml:space="preserve">      </w:t>
        <w:tab/>
        <w:t>Ivana Stojšić, mag.ing.mech.</w:t>
      </w:r>
    </w:p>
    <w:p>
      <w:pPr>
        <w:pStyle w:val="Normal"/>
        <w:rPr>
          <w:rFonts w:cs="Arial"/>
        </w:rPr>
      </w:pPr>
      <w:r>
        <w:rPr>
          <w:rFonts w:cs="Arial"/>
        </w:rPr>
      </w:r>
    </w:p>
    <w:p>
      <w:pPr>
        <w:pStyle w:val="Normal"/>
        <w:rPr>
          <w:rFonts w:cs="Arial"/>
        </w:rPr>
      </w:pPr>
      <w:r>
        <w:rPr>
          <w:rFonts w:cs="Arial"/>
        </w:rPr>
        <w:tab/>
        <w:t xml:space="preserve">      </w:t>
        <w:tab/>
        <w:t>Dario Nikšić, mag.ing.mech.</w:t>
      </w:r>
    </w:p>
    <w:p>
      <w:pPr>
        <w:pStyle w:val="Normal"/>
        <w:rPr>
          <w:rFonts w:cs="Arial"/>
        </w:rPr>
      </w:pPr>
      <w:r>
        <w:rPr>
          <w:rFonts w:cs="Arial"/>
        </w:rPr>
      </w:r>
    </w:p>
    <w:p>
      <w:pPr>
        <w:pStyle w:val="Normal"/>
        <w:rPr>
          <w:rFonts w:cs="Arial"/>
        </w:rPr>
      </w:pPr>
      <w:r>
        <w:rPr>
          <w:rFonts w:cs="Arial"/>
        </w:rPr>
      </w:r>
    </w:p>
    <w:p>
      <w:pPr>
        <w:pStyle w:val="Normal"/>
        <w:rPr>
          <w:rFonts w:cs="Arial"/>
        </w:rPr>
      </w:pPr>
      <w:r>
        <w:rPr>
          <w:rFonts w:cs="Arial"/>
        </w:rPr>
      </w:r>
    </w:p>
    <w:p>
      <w:pPr>
        <w:pStyle w:val="Normal"/>
        <w:rPr>
          <w:rFonts w:cs="Arial"/>
        </w:rPr>
      </w:pPr>
      <w:r>
        <w:rPr>
          <w:rFonts w:cs="Arial"/>
        </w:rPr>
      </w:r>
    </w:p>
    <w:p>
      <w:pPr>
        <w:pStyle w:val="Normal"/>
        <w:rPr>
          <w:rFonts w:cs="Arial"/>
        </w:rPr>
      </w:pPr>
      <w:r>
        <w:rPr>
          <w:rFonts w:cs="Arial"/>
        </w:rPr>
      </w:r>
    </w:p>
    <w:p>
      <w:pPr>
        <w:pStyle w:val="Normal"/>
        <w:rPr/>
      </w:pPr>
      <w:bookmarkStart w:id="0" w:name="_GoBack"/>
      <w:bookmarkEnd w:id="0"/>
      <w:r>
        <w:rPr>
          <w:rFonts w:cs="Arial"/>
        </w:rPr>
        <w:t>Datum izrade: ožujak, 2017. godine</w:t>
      </w:r>
    </w:p>
    <w:sdt>
      <w:sdtPr>
        <w:docPartObj>
          <w:docPartGallery w:val="Table of Contents"/>
          <w:docPartUnique w:val="true"/>
        </w:docPartObj>
        <w:id w:val="900471359"/>
      </w:sdtPr>
      <w:sdtContent>
        <w:p>
          <w:pPr>
            <w:pStyle w:val="TOCHeading"/>
            <w:rPr>
              <w:rFonts w:ascii="Arial" w:hAnsi="Arial" w:cs="Arial"/>
              <w:color w:val="00000A"/>
              <w:sz w:val="24"/>
            </w:rPr>
          </w:pPr>
          <w:r>
            <w:rPr>
              <w:rFonts w:cs="Arial" w:ascii="Arial" w:hAnsi="Arial"/>
              <w:color w:val="00000A"/>
              <w:sz w:val="24"/>
            </w:rPr>
            <w:t>SADRŽAJ</w:t>
          </w:r>
        </w:p>
        <w:p>
          <w:pPr>
            <w:pStyle w:val="Normal"/>
            <w:rPr/>
          </w:pPr>
          <w:r>
            <w:rPr/>
          </w:r>
        </w:p>
        <w:p>
          <w:pPr>
            <w:pStyle w:val="Contents1"/>
            <w:tabs>
              <w:tab w:val="right" w:pos="9062" w:leader="dot"/>
            </w:tabs>
            <w:rPr>
              <w:rFonts w:ascii="Calibri" w:hAnsi="Calibri" w:eastAsia="" w:asciiTheme="minorHAnsi" w:eastAsiaTheme="minorEastAsia" w:hAnsiTheme="minorHAnsi"/>
              <w:lang w:eastAsia="hr-HR"/>
            </w:rPr>
          </w:pPr>
          <w:r>
            <w:fldChar w:fldCharType="begin"/>
          </w:r>
          <w:r>
            <w:instrText> TOC \z \o "1-3" \u \h</w:instrText>
          </w:r>
          <w:r>
            <w:fldChar w:fldCharType="separate"/>
          </w:r>
          <w:hyperlink w:anchor="_Toc475347804">
            <w:r>
              <w:rPr>
                <w:webHidden/>
              </w:rPr>
              <w:fldChar w:fldCharType="begin"/>
            </w:r>
            <w:r>
              <w:rPr>
                <w:webHidden/>
              </w:rPr>
              <w:instrText>PAGEREF _Toc475347804 \h</w:instrText>
            </w:r>
            <w:r>
              <w:rPr>
                <w:webHidden/>
              </w:rPr>
              <w:fldChar w:fldCharType="separate"/>
            </w:r>
            <w:r>
              <w:rPr>
                <w:webHidden/>
                <w:rStyle w:val="IndexLink"/>
                <w:vanish w:val="false"/>
              </w:rPr>
              <w:t>1 UVOD</w:t>
              <w:tab/>
              <w:t>1</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05">
            <w:r>
              <w:rPr>
                <w:webHidden/>
              </w:rPr>
              <w:fldChar w:fldCharType="begin"/>
            </w:r>
            <w:r>
              <w:rPr>
                <w:webHidden/>
              </w:rPr>
              <w:instrText>PAGEREF _Toc475347805 \h</w:instrText>
            </w:r>
            <w:r>
              <w:rPr>
                <w:webHidden/>
              </w:rPr>
              <w:fldChar w:fldCharType="separate"/>
            </w:r>
            <w:r>
              <w:rPr>
                <w:webHidden/>
                <w:rStyle w:val="IndexLink"/>
                <w:vanish w:val="false"/>
              </w:rPr>
              <w:t>1.1 Ciljevi</w:t>
              <w:tab/>
              <w:t>2</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06">
            <w:r>
              <w:rPr>
                <w:webHidden/>
              </w:rPr>
              <w:fldChar w:fldCharType="begin"/>
            </w:r>
            <w:r>
              <w:rPr>
                <w:webHidden/>
              </w:rPr>
              <w:instrText>PAGEREF _Toc475347806 \h</w:instrText>
            </w:r>
            <w:r>
              <w:rPr>
                <w:webHidden/>
              </w:rPr>
              <w:fldChar w:fldCharType="separate"/>
            </w:r>
            <w:r>
              <w:rPr>
                <w:webHidden/>
                <w:rStyle w:val="IndexLink"/>
                <w:vanish w:val="false"/>
              </w:rPr>
              <w:t>1.2 Obveze jedinice lokalne samouprave</w:t>
              <w:tab/>
              <w:t>3</w:t>
            </w:r>
            <w:r>
              <w:rPr>
                <w:webHidden/>
              </w:rPr>
              <w:fldChar w:fldCharType="end"/>
            </w:r>
          </w:hyperlink>
        </w:p>
        <w:p>
          <w:pPr>
            <w:pStyle w:val="Contents1"/>
            <w:tabs>
              <w:tab w:val="right" w:pos="9062" w:leader="dot"/>
            </w:tabs>
            <w:rPr>
              <w:rFonts w:ascii="Calibri" w:hAnsi="Calibri" w:eastAsia="" w:asciiTheme="minorHAnsi" w:eastAsiaTheme="minorEastAsia" w:hAnsiTheme="minorHAnsi"/>
              <w:lang w:eastAsia="hr-HR"/>
            </w:rPr>
          </w:pPr>
          <w:hyperlink w:anchor="_Toc475347807">
            <w:r>
              <w:rPr>
                <w:webHidden/>
              </w:rPr>
              <w:fldChar w:fldCharType="begin"/>
            </w:r>
            <w:r>
              <w:rPr>
                <w:webHidden/>
              </w:rPr>
              <w:instrText>PAGEREF _Toc475347807 \h</w:instrText>
            </w:r>
            <w:r>
              <w:rPr>
                <w:webHidden/>
              </w:rPr>
              <w:fldChar w:fldCharType="separate"/>
            </w:r>
            <w:r>
              <w:rPr>
                <w:webHidden/>
                <w:rStyle w:val="IndexLink"/>
                <w:vanish w:val="false"/>
              </w:rPr>
              <w:t>2 ANALIZA, TE OCJENA STANJA I POTREBA U GOSPODARENJU OTPADOM NA PODRUČJU OPĆINE NOVA KAPELA, UKLJUČUJUĆI OSTVARIVANJE CILJEVA</w:t>
              <w:tab/>
              <w:t>5</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08">
            <w:r>
              <w:rPr>
                <w:webHidden/>
              </w:rPr>
              <w:fldChar w:fldCharType="begin"/>
            </w:r>
            <w:r>
              <w:rPr>
                <w:webHidden/>
              </w:rPr>
              <w:instrText>PAGEREF _Toc475347808 \h</w:instrText>
            </w:r>
            <w:r>
              <w:rPr>
                <w:webHidden/>
              </w:rPr>
              <w:fldChar w:fldCharType="separate"/>
            </w:r>
            <w:r>
              <w:rPr>
                <w:webHidden/>
                <w:rStyle w:val="IndexLink"/>
                <w:vanish w:val="false"/>
              </w:rPr>
              <w:t>2.1 Stanovništvo</w:t>
              <w:tab/>
              <w:t>6</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09">
            <w:r>
              <w:rPr>
                <w:webHidden/>
              </w:rPr>
              <w:fldChar w:fldCharType="begin"/>
            </w:r>
            <w:r>
              <w:rPr>
                <w:webHidden/>
              </w:rPr>
              <w:instrText>PAGEREF _Toc475347809 \h</w:instrText>
            </w:r>
            <w:r>
              <w:rPr>
                <w:webHidden/>
              </w:rPr>
              <w:fldChar w:fldCharType="separate"/>
            </w:r>
            <w:r>
              <w:rPr>
                <w:webHidden/>
                <w:rStyle w:val="IndexLink"/>
                <w:vanish w:val="false"/>
              </w:rPr>
              <w:t>2.2 Poduzetništvo i obrtništvo</w:t>
              <w:tab/>
              <w:t>7</w:t>
            </w:r>
            <w:r>
              <w:rPr>
                <w:webHidden/>
              </w:rPr>
              <w:fldChar w:fldCharType="end"/>
            </w:r>
          </w:hyperlink>
        </w:p>
        <w:p>
          <w:pPr>
            <w:pStyle w:val="Contents3"/>
            <w:tabs>
              <w:tab w:val="right" w:pos="9062" w:leader="dot"/>
            </w:tabs>
            <w:rPr>
              <w:rFonts w:ascii="Calibri" w:hAnsi="Calibri" w:eastAsia="" w:asciiTheme="minorHAnsi" w:eastAsiaTheme="minorEastAsia" w:hAnsiTheme="minorHAnsi"/>
              <w:lang w:eastAsia="hr-HR"/>
            </w:rPr>
          </w:pPr>
          <w:hyperlink w:anchor="_Toc475347810">
            <w:r>
              <w:rPr>
                <w:webHidden/>
                <w:rStyle w:val="IndexLink"/>
                <w:rFonts w:cs="Arial"/>
                <w:vanish w:val="false"/>
              </w:rPr>
              <w:t>1.  proizvodni pogon PE folije i PE ambalaže tvrtke Metaloplast d.o.o.,</w:t>
            </w:r>
            <w:r>
              <w:rPr>
                <w:webHidden/>
              </w:rPr>
              <w:fldChar w:fldCharType="begin"/>
            </w:r>
            <w:r>
              <w:rPr>
                <w:webHidden/>
              </w:rPr>
              <w:instrText>PAGEREF _Toc475347810 \h</w:instrText>
            </w:r>
            <w:r>
              <w:rPr>
                <w:webHidden/>
              </w:rPr>
              <w:fldChar w:fldCharType="separate"/>
            </w:r>
            <w:r>
              <w:rPr>
                <w:rStyle w:val="IndexLink"/>
                <w:vanish w:val="false"/>
              </w:rPr>
              <w:tab/>
              <w:t>7</w:t>
            </w:r>
            <w:r>
              <w:rPr>
                <w:webHidden/>
              </w:rPr>
              <w:fldChar w:fldCharType="end"/>
            </w:r>
          </w:hyperlink>
        </w:p>
        <w:p>
          <w:pPr>
            <w:pStyle w:val="Contents3"/>
            <w:tabs>
              <w:tab w:val="right" w:pos="9062" w:leader="dot"/>
            </w:tabs>
            <w:rPr>
              <w:rFonts w:ascii="Calibri" w:hAnsi="Calibri" w:eastAsia="" w:asciiTheme="minorHAnsi" w:eastAsiaTheme="minorEastAsia" w:hAnsiTheme="minorHAnsi"/>
              <w:lang w:eastAsia="hr-HR"/>
            </w:rPr>
          </w:pPr>
          <w:hyperlink w:anchor="_Toc475347811">
            <w:r>
              <w:rPr>
                <w:webHidden/>
                <w:rStyle w:val="IndexLink"/>
                <w:rFonts w:cs="Arial"/>
                <w:vanish w:val="false"/>
              </w:rPr>
              <w:t>2.  proizvodnja obuće tvrtke Seklo d.o.o.,</w:t>
            </w:r>
            <w:r>
              <w:rPr>
                <w:webHidden/>
              </w:rPr>
              <w:fldChar w:fldCharType="begin"/>
            </w:r>
            <w:r>
              <w:rPr>
                <w:webHidden/>
              </w:rPr>
              <w:instrText>PAGEREF _Toc475347811 \h</w:instrText>
            </w:r>
            <w:r>
              <w:rPr>
                <w:webHidden/>
              </w:rPr>
              <w:fldChar w:fldCharType="separate"/>
            </w:r>
            <w:r>
              <w:rPr>
                <w:rStyle w:val="IndexLink"/>
                <w:vanish w:val="false"/>
              </w:rPr>
              <w:tab/>
              <w:t>7</w:t>
            </w:r>
            <w:r>
              <w:rPr>
                <w:webHidden/>
              </w:rPr>
              <w:fldChar w:fldCharType="end"/>
            </w:r>
          </w:hyperlink>
        </w:p>
        <w:p>
          <w:pPr>
            <w:pStyle w:val="Contents3"/>
            <w:tabs>
              <w:tab w:val="right" w:pos="9062" w:leader="dot"/>
            </w:tabs>
            <w:rPr>
              <w:rFonts w:ascii="Calibri" w:hAnsi="Calibri" w:eastAsia="" w:asciiTheme="minorHAnsi" w:eastAsiaTheme="minorEastAsia" w:hAnsiTheme="minorHAnsi"/>
              <w:lang w:eastAsia="hr-HR"/>
            </w:rPr>
          </w:pPr>
          <w:hyperlink w:anchor="_Toc475347812">
            <w:r>
              <w:rPr>
                <w:webHidden/>
                <w:rStyle w:val="IndexLink"/>
                <w:rFonts w:cs="Arial"/>
                <w:vanish w:val="false"/>
              </w:rPr>
              <w:t>3.  proizvodnja poljoprivrednih i prehrambenih proizvoda.</w:t>
            </w:r>
            <w:r>
              <w:rPr>
                <w:webHidden/>
              </w:rPr>
              <w:fldChar w:fldCharType="begin"/>
            </w:r>
            <w:r>
              <w:rPr>
                <w:webHidden/>
              </w:rPr>
              <w:instrText>PAGEREF _Toc475347812 \h</w:instrText>
            </w:r>
            <w:r>
              <w:rPr>
                <w:webHidden/>
              </w:rPr>
              <w:fldChar w:fldCharType="separate"/>
            </w:r>
            <w:r>
              <w:rPr>
                <w:rStyle w:val="IndexLink"/>
                <w:vanish w:val="false"/>
              </w:rPr>
              <w:tab/>
              <w:t>7</w:t>
            </w:r>
            <w:r>
              <w:rPr>
                <w:webHidden/>
              </w:rPr>
              <w:fldChar w:fldCharType="end"/>
            </w:r>
          </w:hyperlink>
        </w:p>
        <w:p>
          <w:pPr>
            <w:pStyle w:val="Contents3"/>
            <w:tabs>
              <w:tab w:val="right" w:pos="9062" w:leader="dot"/>
            </w:tabs>
            <w:rPr>
              <w:rFonts w:ascii="Calibri" w:hAnsi="Calibri" w:eastAsia="" w:asciiTheme="minorHAnsi" w:eastAsiaTheme="minorEastAsia" w:hAnsiTheme="minorHAnsi"/>
              <w:lang w:eastAsia="hr-HR"/>
            </w:rPr>
          </w:pPr>
          <w:hyperlink w:anchor="_Toc475347813">
            <w:r>
              <w:rPr>
                <w:webHidden/>
                <w:rStyle w:val="IndexLink"/>
                <w:rFonts w:cs="Arial"/>
                <w:vanish w:val="false"/>
              </w:rPr>
              <w:t>U području prerade drva radi nekoliko pilana te nekoliko tvrtki koje finaliziraju proizvode od drveta (stolarija, namještaj, i dr.).</w:t>
            </w:r>
            <w:r>
              <w:rPr>
                <w:webHidden/>
              </w:rPr>
              <w:fldChar w:fldCharType="begin"/>
            </w:r>
            <w:r>
              <w:rPr>
                <w:webHidden/>
              </w:rPr>
              <w:instrText>PAGEREF _Toc475347813 \h</w:instrText>
            </w:r>
            <w:r>
              <w:rPr>
                <w:webHidden/>
              </w:rPr>
              <w:fldChar w:fldCharType="separate"/>
            </w:r>
            <w:r>
              <w:rPr>
                <w:rStyle w:val="IndexLink"/>
                <w:vanish w:val="false"/>
              </w:rPr>
              <w:tab/>
              <w:t>7</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14">
            <w:r>
              <w:rPr>
                <w:webHidden/>
              </w:rPr>
              <w:fldChar w:fldCharType="begin"/>
            </w:r>
            <w:r>
              <w:rPr>
                <w:webHidden/>
              </w:rPr>
              <w:instrText>PAGEREF _Toc475347814 \h</w:instrText>
            </w:r>
            <w:r>
              <w:rPr>
                <w:webHidden/>
              </w:rPr>
              <w:fldChar w:fldCharType="separate"/>
            </w:r>
            <w:r>
              <w:rPr>
                <w:webHidden/>
                <w:rStyle w:val="IndexLink"/>
                <w:vanish w:val="false"/>
              </w:rPr>
              <w:t>2.3 Gospodarenje otpadom</w:t>
              <w:tab/>
              <w:t>7</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15">
            <w:r>
              <w:rPr>
                <w:webHidden/>
              </w:rPr>
              <w:fldChar w:fldCharType="begin"/>
            </w:r>
            <w:r>
              <w:rPr>
                <w:webHidden/>
              </w:rPr>
              <w:instrText>PAGEREF _Toc475347815 \h</w:instrText>
            </w:r>
            <w:r>
              <w:rPr>
                <w:webHidden/>
              </w:rPr>
              <w:fldChar w:fldCharType="separate"/>
            </w:r>
            <w:r>
              <w:rPr>
                <w:webHidden/>
                <w:rStyle w:val="IndexLink"/>
                <w:vanish w:val="false"/>
              </w:rPr>
              <w:t>2.4 Sakupljanje komunalnog otpada</w:t>
              <w:tab/>
              <w:t>8</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16">
            <w:r>
              <w:rPr>
                <w:webHidden/>
              </w:rPr>
              <w:fldChar w:fldCharType="begin"/>
            </w:r>
            <w:r>
              <w:rPr>
                <w:webHidden/>
              </w:rPr>
              <w:instrText>PAGEREF _Toc475347816 \h</w:instrText>
            </w:r>
            <w:r>
              <w:rPr>
                <w:webHidden/>
              </w:rPr>
              <w:fldChar w:fldCharType="separate"/>
            </w:r>
            <w:r>
              <w:rPr>
                <w:webHidden/>
                <w:rStyle w:val="IndexLink"/>
                <w:vanish w:val="false"/>
              </w:rPr>
              <w:t>2.5 Biorazgradivi otpad</w:t>
              <w:tab/>
              <w:t>9</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17">
            <w:r>
              <w:rPr>
                <w:webHidden/>
              </w:rPr>
              <w:fldChar w:fldCharType="begin"/>
            </w:r>
            <w:r>
              <w:rPr>
                <w:webHidden/>
              </w:rPr>
              <w:instrText>PAGEREF _Toc475347817 \h</w:instrText>
            </w:r>
            <w:r>
              <w:rPr>
                <w:webHidden/>
              </w:rPr>
              <w:fldChar w:fldCharType="separate"/>
            </w:r>
            <w:r>
              <w:rPr>
                <w:webHidden/>
                <w:rStyle w:val="IndexLink"/>
                <w:vanish w:val="false"/>
              </w:rPr>
              <w:t>2.6 Glomazni otpad</w:t>
              <w:tab/>
              <w:t>10</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18">
            <w:r>
              <w:rPr>
                <w:webHidden/>
              </w:rPr>
              <w:fldChar w:fldCharType="begin"/>
            </w:r>
            <w:r>
              <w:rPr>
                <w:webHidden/>
              </w:rPr>
              <w:instrText>PAGEREF _Toc475347818 \h</w:instrText>
            </w:r>
            <w:r>
              <w:rPr>
                <w:webHidden/>
              </w:rPr>
              <w:fldChar w:fldCharType="separate"/>
            </w:r>
            <w:r>
              <w:rPr>
                <w:webHidden/>
                <w:rStyle w:val="IndexLink"/>
                <w:vanish w:val="false"/>
              </w:rPr>
              <w:t>2.7 Otpadni tekstil i obuća</w:t>
              <w:tab/>
              <w:t>10</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19">
            <w:r>
              <w:rPr>
                <w:webHidden/>
              </w:rPr>
              <w:fldChar w:fldCharType="begin"/>
            </w:r>
            <w:r>
              <w:rPr>
                <w:webHidden/>
              </w:rPr>
              <w:instrText>PAGEREF _Toc475347819 \h</w:instrText>
            </w:r>
            <w:r>
              <w:rPr>
                <w:webHidden/>
              </w:rPr>
              <w:fldChar w:fldCharType="separate"/>
            </w:r>
            <w:r>
              <w:rPr>
                <w:webHidden/>
                <w:rStyle w:val="IndexLink"/>
                <w:vanish w:val="false"/>
              </w:rPr>
              <w:t>2.8 Problematični otpad iz domaćinstava</w:t>
              <w:tab/>
              <w:t>11</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20">
            <w:r>
              <w:rPr>
                <w:webHidden/>
              </w:rPr>
              <w:fldChar w:fldCharType="begin"/>
            </w:r>
            <w:r>
              <w:rPr>
                <w:webHidden/>
              </w:rPr>
              <w:instrText>PAGEREF _Toc475347820 \h</w:instrText>
            </w:r>
            <w:r>
              <w:rPr>
                <w:webHidden/>
              </w:rPr>
              <w:fldChar w:fldCharType="separate"/>
            </w:r>
            <w:r>
              <w:rPr>
                <w:webHidden/>
                <w:rStyle w:val="IndexLink"/>
                <w:vanish w:val="false"/>
              </w:rPr>
              <w:t>2.9 Građevni otpad i otpad koji sadrži azbest</w:t>
              <w:tab/>
              <w:t>11</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21">
            <w:r>
              <w:rPr>
                <w:webHidden/>
              </w:rPr>
              <w:fldChar w:fldCharType="begin"/>
            </w:r>
            <w:r>
              <w:rPr>
                <w:webHidden/>
              </w:rPr>
              <w:instrText>PAGEREF _Toc475347821 \h</w:instrText>
            </w:r>
            <w:r>
              <w:rPr>
                <w:webHidden/>
              </w:rPr>
              <w:fldChar w:fldCharType="separate"/>
            </w:r>
            <w:r>
              <w:rPr>
                <w:webHidden/>
                <w:rStyle w:val="IndexLink"/>
                <w:vanish w:val="false"/>
              </w:rPr>
              <w:t>2.10 EE otpad</w:t>
              <w:tab/>
              <w:t>11</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22">
            <w:r>
              <w:rPr>
                <w:webHidden/>
              </w:rPr>
              <w:fldChar w:fldCharType="begin"/>
            </w:r>
            <w:r>
              <w:rPr>
                <w:webHidden/>
              </w:rPr>
              <w:instrText>PAGEREF _Toc475347822 \h</w:instrText>
            </w:r>
            <w:r>
              <w:rPr>
                <w:webHidden/>
              </w:rPr>
              <w:fldChar w:fldCharType="separate"/>
            </w:r>
            <w:r>
              <w:rPr>
                <w:webHidden/>
                <w:rStyle w:val="IndexLink"/>
                <w:vanish w:val="false"/>
              </w:rPr>
              <w:t>2.11 Ambalaža i otpadna ambalaža</w:t>
              <w:tab/>
              <w:t>12</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23">
            <w:r>
              <w:rPr>
                <w:webHidden/>
              </w:rPr>
              <w:fldChar w:fldCharType="begin"/>
            </w:r>
            <w:r>
              <w:rPr>
                <w:webHidden/>
              </w:rPr>
              <w:instrText>PAGEREF _Toc475347823 \h</w:instrText>
            </w:r>
            <w:r>
              <w:rPr>
                <w:webHidden/>
              </w:rPr>
              <w:fldChar w:fldCharType="separate"/>
            </w:r>
            <w:r>
              <w:rPr>
                <w:webHidden/>
                <w:rStyle w:val="IndexLink"/>
                <w:vanish w:val="false"/>
              </w:rPr>
              <w:t>2.12 Otpadna vozila</w:t>
              <w:tab/>
              <w:t>12</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24">
            <w:r>
              <w:rPr>
                <w:webHidden/>
              </w:rPr>
              <w:fldChar w:fldCharType="begin"/>
            </w:r>
            <w:r>
              <w:rPr>
                <w:webHidden/>
              </w:rPr>
              <w:instrText>PAGEREF _Toc475347824 \h</w:instrText>
            </w:r>
            <w:r>
              <w:rPr>
                <w:webHidden/>
              </w:rPr>
              <w:fldChar w:fldCharType="separate"/>
            </w:r>
            <w:r>
              <w:rPr>
                <w:webHidden/>
                <w:rStyle w:val="IndexLink"/>
                <w:vanish w:val="false"/>
              </w:rPr>
              <w:t>2.13 Otpadne gume</w:t>
              <w:tab/>
              <w:t>12</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25">
            <w:r>
              <w:rPr>
                <w:webHidden/>
              </w:rPr>
              <w:fldChar w:fldCharType="begin"/>
            </w:r>
            <w:r>
              <w:rPr>
                <w:webHidden/>
              </w:rPr>
              <w:instrText>PAGEREF _Toc475347825 \h</w:instrText>
            </w:r>
            <w:r>
              <w:rPr>
                <w:webHidden/>
              </w:rPr>
              <w:fldChar w:fldCharType="separate"/>
            </w:r>
            <w:r>
              <w:rPr>
                <w:webHidden/>
                <w:rStyle w:val="IndexLink"/>
                <w:vanish w:val="false"/>
              </w:rPr>
              <w:t>2.14. Reciklažna dvorišta</w:t>
              <w:tab/>
              <w:t>13</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26">
            <w:r>
              <w:rPr>
                <w:webHidden/>
              </w:rPr>
              <w:fldChar w:fldCharType="begin"/>
            </w:r>
            <w:r>
              <w:rPr>
                <w:webHidden/>
              </w:rPr>
              <w:instrText>PAGEREF _Toc475347826 \h</w:instrText>
            </w:r>
            <w:r>
              <w:rPr>
                <w:webHidden/>
              </w:rPr>
              <w:fldChar w:fldCharType="separate"/>
            </w:r>
            <w:r>
              <w:rPr>
                <w:webHidden/>
                <w:rStyle w:val="IndexLink"/>
                <w:vanish w:val="false"/>
              </w:rPr>
              <w:t>2.15. Zeleni otoci</w:t>
              <w:tab/>
              <w:t>13</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27">
            <w:r>
              <w:rPr>
                <w:webHidden/>
              </w:rPr>
              <w:fldChar w:fldCharType="begin"/>
            </w:r>
            <w:r>
              <w:rPr>
                <w:webHidden/>
              </w:rPr>
              <w:instrText>PAGEREF _Toc475347827 \h</w:instrText>
            </w:r>
            <w:r>
              <w:rPr>
                <w:webHidden/>
              </w:rPr>
              <w:fldChar w:fldCharType="separate"/>
            </w:r>
            <w:r>
              <w:rPr>
                <w:webHidden/>
                <w:rStyle w:val="IndexLink"/>
                <w:vanish w:val="false"/>
              </w:rPr>
              <w:t>2.16 Ocjena stanja</w:t>
              <w:tab/>
              <w:t>14</w:t>
            </w:r>
            <w:r>
              <w:rPr>
                <w:webHidden/>
              </w:rPr>
              <w:fldChar w:fldCharType="end"/>
            </w:r>
          </w:hyperlink>
        </w:p>
        <w:p>
          <w:pPr>
            <w:pStyle w:val="Contents1"/>
            <w:tabs>
              <w:tab w:val="right" w:pos="9062" w:leader="dot"/>
            </w:tabs>
            <w:rPr>
              <w:rFonts w:ascii="Calibri" w:hAnsi="Calibri" w:eastAsia="" w:asciiTheme="minorHAnsi" w:eastAsiaTheme="minorEastAsia" w:hAnsiTheme="minorHAnsi"/>
              <w:lang w:eastAsia="hr-HR"/>
            </w:rPr>
          </w:pPr>
          <w:hyperlink w:anchor="_Toc475347828">
            <w:r>
              <w:rPr>
                <w:webHidden/>
              </w:rPr>
              <w:fldChar w:fldCharType="begin"/>
            </w:r>
            <w:r>
              <w:rPr>
                <w:webHidden/>
              </w:rPr>
              <w:instrText>PAGEREF _Toc475347828 \h</w:instrText>
            </w:r>
            <w:r>
              <w:rPr>
                <w:webHidden/>
              </w:rPr>
              <w:fldChar w:fldCharType="separate"/>
            </w:r>
            <w:r>
              <w:rPr>
                <w:webHidden/>
                <w:rStyle w:val="IndexLink"/>
                <w:vanish w:val="false"/>
              </w:rPr>
              <w:t>3 PODACI O VRSTAMA I KOLIČINAMA PROIZVEDENOG OTPADA, ODVOJENO SAKUPLJENOG OTPADA, ODLAGANJU KOMUNALNOG I BIORAZGRADIVOG OTPADA, TE OSTVARIVANJU CILJEVA</w:t>
              <w:tab/>
              <w:t>15</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29">
            <w:r>
              <w:rPr>
                <w:webHidden/>
              </w:rPr>
              <w:fldChar w:fldCharType="begin"/>
            </w:r>
            <w:r>
              <w:rPr>
                <w:webHidden/>
              </w:rPr>
              <w:instrText>PAGEREF _Toc475347829 \h</w:instrText>
            </w:r>
            <w:r>
              <w:rPr>
                <w:webHidden/>
              </w:rPr>
              <w:fldChar w:fldCharType="separate"/>
            </w:r>
            <w:r>
              <w:rPr>
                <w:webHidden/>
                <w:rStyle w:val="IndexLink"/>
                <w:vanish w:val="false"/>
              </w:rPr>
              <w:t>3.1 Podaci o količinama odvojeno sakupljenog otpada</w:t>
              <w:tab/>
              <w:t>15</w:t>
            </w:r>
            <w:r>
              <w:rPr>
                <w:webHidden/>
              </w:rPr>
              <w:fldChar w:fldCharType="end"/>
            </w:r>
          </w:hyperlink>
        </w:p>
        <w:p>
          <w:pPr>
            <w:pStyle w:val="Contents1"/>
            <w:tabs>
              <w:tab w:val="right" w:pos="9062" w:leader="dot"/>
            </w:tabs>
            <w:rPr>
              <w:rFonts w:ascii="Calibri" w:hAnsi="Calibri" w:eastAsia="" w:asciiTheme="minorHAnsi" w:eastAsiaTheme="minorEastAsia" w:hAnsiTheme="minorHAnsi"/>
              <w:lang w:eastAsia="hr-HR"/>
            </w:rPr>
          </w:pPr>
          <w:hyperlink w:anchor="_Toc475347830">
            <w:r>
              <w:rPr>
                <w:webHidden/>
              </w:rPr>
              <w:fldChar w:fldCharType="begin"/>
            </w:r>
            <w:r>
              <w:rPr>
                <w:webHidden/>
              </w:rPr>
              <w:instrText>PAGEREF _Toc475347830 \h</w:instrText>
            </w:r>
            <w:r>
              <w:rPr>
                <w:webHidden/>
              </w:rPr>
              <w:fldChar w:fldCharType="separate"/>
            </w:r>
            <w:r>
              <w:rPr>
                <w:webHidden/>
                <w:rStyle w:val="IndexLink"/>
                <w:vanish w:val="false"/>
              </w:rPr>
              <w:t>4 PODACI O POSTOJEĆIM I PLANIRANIM GRAĐEVINAMA I UREĐAJIMA ZA GOSPODARENJE OTPADOM, TE STATUSU SANACIJE NEUSKLAĐENIH ODLAGALIŠTA I LOKACIJA ONEČIŠĆENIH OTPADOM</w:t>
              <w:tab/>
              <w:t>16</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31">
            <w:r>
              <w:rPr>
                <w:webHidden/>
              </w:rPr>
              <w:fldChar w:fldCharType="begin"/>
            </w:r>
            <w:r>
              <w:rPr>
                <w:webHidden/>
              </w:rPr>
              <w:instrText>PAGEREF _Toc475347831 \h</w:instrText>
            </w:r>
            <w:r>
              <w:rPr>
                <w:webHidden/>
              </w:rPr>
              <w:fldChar w:fldCharType="separate"/>
            </w:r>
            <w:r>
              <w:rPr>
                <w:webHidden/>
                <w:rStyle w:val="IndexLink"/>
                <w:vanish w:val="false"/>
              </w:rPr>
              <w:t>4.1 Odlagalište otpada</w:t>
              <w:tab/>
              <w:t>16</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32">
            <w:r>
              <w:rPr>
                <w:webHidden/>
              </w:rPr>
              <w:fldChar w:fldCharType="begin"/>
            </w:r>
            <w:r>
              <w:rPr>
                <w:webHidden/>
              </w:rPr>
              <w:instrText>PAGEREF _Toc475347832 \h</w:instrText>
            </w:r>
            <w:r>
              <w:rPr>
                <w:webHidden/>
              </w:rPr>
              <w:fldChar w:fldCharType="separate"/>
            </w:r>
            <w:r>
              <w:rPr>
                <w:webHidden/>
                <w:rStyle w:val="IndexLink"/>
                <w:vanish w:val="false"/>
              </w:rPr>
              <w:t>4.2 Reciklažna dvorišta</w:t>
              <w:tab/>
              <w:t>19</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33">
            <w:r>
              <w:rPr>
                <w:webHidden/>
              </w:rPr>
              <w:fldChar w:fldCharType="begin"/>
            </w:r>
            <w:r>
              <w:rPr>
                <w:webHidden/>
              </w:rPr>
              <w:instrText>PAGEREF _Toc475347833 \h</w:instrText>
            </w:r>
            <w:r>
              <w:rPr>
                <w:webHidden/>
              </w:rPr>
              <w:fldChar w:fldCharType="separate"/>
            </w:r>
            <w:r>
              <w:rPr>
                <w:webHidden/>
                <w:rStyle w:val="IndexLink"/>
                <w:vanish w:val="false"/>
              </w:rPr>
              <w:t>4.3 Zeleni otoci</w:t>
              <w:tab/>
              <w:t>19</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34">
            <w:r>
              <w:rPr>
                <w:webHidden/>
              </w:rPr>
              <w:fldChar w:fldCharType="begin"/>
            </w:r>
            <w:r>
              <w:rPr>
                <w:webHidden/>
              </w:rPr>
              <w:instrText>PAGEREF _Toc475347834 \h</w:instrText>
            </w:r>
            <w:r>
              <w:rPr>
                <w:webHidden/>
              </w:rPr>
              <w:fldChar w:fldCharType="separate"/>
            </w:r>
            <w:r>
              <w:rPr>
                <w:webHidden/>
                <w:rStyle w:val="IndexLink"/>
                <w:vanish w:val="false"/>
              </w:rPr>
              <w:t>4.4 Ostali objekti</w:t>
              <w:tab/>
              <w:t>20</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35">
            <w:r>
              <w:rPr>
                <w:webHidden/>
              </w:rPr>
              <w:fldChar w:fldCharType="begin"/>
            </w:r>
            <w:r>
              <w:rPr>
                <w:webHidden/>
              </w:rPr>
              <w:instrText>PAGEREF _Toc475347835 \h</w:instrText>
            </w:r>
            <w:r>
              <w:rPr>
                <w:webHidden/>
              </w:rPr>
              <w:fldChar w:fldCharType="separate"/>
            </w:r>
            <w:r>
              <w:rPr>
                <w:webHidden/>
                <w:rStyle w:val="IndexLink"/>
                <w:vanish w:val="false"/>
              </w:rPr>
              <w:t>4.5 Komunalna oprema, uređaji i vozila</w:t>
              <w:tab/>
              <w:t>20</w:t>
            </w:r>
            <w:r>
              <w:rPr>
                <w:webHidden/>
              </w:rPr>
              <w:fldChar w:fldCharType="end"/>
            </w:r>
          </w:hyperlink>
        </w:p>
        <w:p>
          <w:pPr>
            <w:pStyle w:val="Contents1"/>
            <w:tabs>
              <w:tab w:val="right" w:pos="9062" w:leader="dot"/>
            </w:tabs>
            <w:rPr>
              <w:rFonts w:ascii="Calibri" w:hAnsi="Calibri" w:eastAsia="" w:asciiTheme="minorHAnsi" w:eastAsiaTheme="minorEastAsia" w:hAnsiTheme="minorHAnsi"/>
              <w:lang w:eastAsia="hr-HR"/>
            </w:rPr>
          </w:pPr>
          <w:hyperlink w:anchor="_Toc475347836">
            <w:r>
              <w:rPr>
                <w:webHidden/>
              </w:rPr>
              <w:fldChar w:fldCharType="begin"/>
            </w:r>
            <w:r>
              <w:rPr>
                <w:webHidden/>
              </w:rPr>
              <w:instrText>PAGEREF _Toc475347836 \h</w:instrText>
            </w:r>
            <w:r>
              <w:rPr>
                <w:webHidden/>
              </w:rPr>
              <w:fldChar w:fldCharType="separate"/>
            </w:r>
            <w:r>
              <w:rPr>
                <w:webHidden/>
                <w:rStyle w:val="IndexLink"/>
                <w:vanish w:val="false"/>
              </w:rPr>
              <w:t>5 PODACI O LOKACIJAMA ODBAČENOG OTPADA I NJIHOVOM UKLANJANJU</w:t>
              <w:tab/>
              <w:t>21</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37">
            <w:r>
              <w:rPr>
                <w:webHidden/>
              </w:rPr>
              <w:fldChar w:fldCharType="begin"/>
            </w:r>
            <w:r>
              <w:rPr>
                <w:webHidden/>
              </w:rPr>
              <w:instrText>PAGEREF _Toc475347837 \h</w:instrText>
            </w:r>
            <w:r>
              <w:rPr>
                <w:webHidden/>
              </w:rPr>
              <w:fldChar w:fldCharType="separate"/>
            </w:r>
            <w:r>
              <w:rPr>
                <w:webHidden/>
                <w:rStyle w:val="IndexLink"/>
                <w:vanish w:val="false"/>
              </w:rPr>
              <w:t>5.1 Popis otpadom onečišćenog okoliša i neuređenih odlagališta</w:t>
              <w:tab/>
              <w:t>21</w:t>
            </w:r>
            <w:r>
              <w:rPr>
                <w:webHidden/>
              </w:rPr>
              <w:fldChar w:fldCharType="end"/>
            </w:r>
          </w:hyperlink>
        </w:p>
        <w:p>
          <w:pPr>
            <w:pStyle w:val="Contents1"/>
            <w:tabs>
              <w:tab w:val="right" w:pos="9062" w:leader="dot"/>
            </w:tabs>
            <w:rPr>
              <w:rFonts w:ascii="Calibri" w:hAnsi="Calibri" w:eastAsia="" w:asciiTheme="minorHAnsi" w:eastAsiaTheme="minorEastAsia" w:hAnsiTheme="minorHAnsi"/>
              <w:lang w:eastAsia="hr-HR"/>
            </w:rPr>
          </w:pPr>
          <w:hyperlink w:anchor="_Toc475347838">
            <w:r>
              <w:rPr>
                <w:webHidden/>
              </w:rPr>
              <w:fldChar w:fldCharType="begin"/>
            </w:r>
            <w:r>
              <w:rPr>
                <w:webHidden/>
              </w:rPr>
              <w:instrText>PAGEREF _Toc475347838 \h</w:instrText>
            </w:r>
            <w:r>
              <w:rPr>
                <w:webHidden/>
              </w:rPr>
              <w:fldChar w:fldCharType="separate"/>
            </w:r>
            <w:r>
              <w:rPr>
                <w:webHidden/>
                <w:rStyle w:val="IndexLink"/>
                <w:vanish w:val="false"/>
              </w:rPr>
              <w:t>6 MJERE POTREBNE ZA OSTVARIVANJE CILJEVA SMANJIVANJA ILI SPRJEČAVANJA NASTANKA OTPADA, UKLJUČUJUĆI IZOBRAZNO - INFORMATIVNE AKTIVNOSTI I AKCIJE PRIKUPLJANJA OTPADA</w:t>
              <w:tab/>
              <w:t>23</w:t>
            </w:r>
            <w:r>
              <w:rPr>
                <w:webHidden/>
              </w:rPr>
              <w:fldChar w:fldCharType="end"/>
            </w:r>
          </w:hyperlink>
        </w:p>
        <w:p>
          <w:pPr>
            <w:pStyle w:val="Contents1"/>
            <w:tabs>
              <w:tab w:val="right" w:pos="9062" w:leader="dot"/>
            </w:tabs>
            <w:rPr>
              <w:rFonts w:ascii="Calibri" w:hAnsi="Calibri" w:eastAsia="" w:asciiTheme="minorHAnsi" w:eastAsiaTheme="minorEastAsia" w:hAnsiTheme="minorHAnsi"/>
              <w:lang w:eastAsia="hr-HR"/>
            </w:rPr>
          </w:pPr>
          <w:hyperlink w:anchor="_Toc475347839">
            <w:r>
              <w:rPr>
                <w:webHidden/>
              </w:rPr>
              <w:fldChar w:fldCharType="begin"/>
            </w:r>
            <w:r>
              <w:rPr>
                <w:webHidden/>
              </w:rPr>
              <w:instrText>PAGEREF _Toc475347839 \h</w:instrText>
            </w:r>
            <w:r>
              <w:rPr>
                <w:webHidden/>
              </w:rPr>
              <w:fldChar w:fldCharType="separate"/>
            </w:r>
            <w:r>
              <w:rPr>
                <w:webHidden/>
                <w:rStyle w:val="IndexLink"/>
                <w:vanish w:val="false"/>
              </w:rPr>
              <w:t>6.1 Opće mjere za gospodarenje otpadom</w:t>
              <w:tab/>
              <w:t>24</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40">
            <w:r>
              <w:rPr>
                <w:webHidden/>
              </w:rPr>
              <w:fldChar w:fldCharType="begin"/>
            </w:r>
            <w:r>
              <w:rPr>
                <w:webHidden/>
              </w:rPr>
              <w:instrText>PAGEREF _Toc475347840 \h</w:instrText>
            </w:r>
            <w:r>
              <w:rPr>
                <w:webHidden/>
              </w:rPr>
              <w:fldChar w:fldCharType="separate"/>
            </w:r>
            <w:r>
              <w:rPr>
                <w:webHidden/>
                <w:rStyle w:val="IndexLink"/>
                <w:vanish w:val="false"/>
              </w:rPr>
              <w:t>6.2 Mjere za gospodarenje opasnim otpadom</w:t>
              <w:tab/>
              <w:t>25</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41">
            <w:r>
              <w:rPr>
                <w:webHidden/>
              </w:rPr>
              <w:fldChar w:fldCharType="begin"/>
            </w:r>
            <w:r>
              <w:rPr>
                <w:webHidden/>
              </w:rPr>
              <w:instrText>PAGEREF _Toc475347841 \h</w:instrText>
            </w:r>
            <w:r>
              <w:rPr>
                <w:webHidden/>
              </w:rPr>
              <w:fldChar w:fldCharType="separate"/>
            </w:r>
            <w:r>
              <w:rPr>
                <w:webHidden/>
                <w:rStyle w:val="IndexLink"/>
                <w:vanish w:val="false"/>
              </w:rPr>
              <w:t>6.3 Mjere za sanaciju Planom utvrđenih lokacija onečišćenih otpadom</w:t>
              <w:tab/>
              <w:t>25</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42">
            <w:r>
              <w:rPr>
                <w:webHidden/>
              </w:rPr>
              <w:fldChar w:fldCharType="begin"/>
            </w:r>
            <w:r>
              <w:rPr>
                <w:webHidden/>
              </w:rPr>
              <w:instrText>PAGEREF _Toc475347842 \h</w:instrText>
            </w:r>
            <w:r>
              <w:rPr>
                <w:webHidden/>
              </w:rPr>
              <w:fldChar w:fldCharType="separate"/>
            </w:r>
            <w:r>
              <w:rPr>
                <w:webHidden/>
                <w:rStyle w:val="IndexLink"/>
                <w:vanish w:val="false"/>
              </w:rPr>
              <w:t>6.4 Mjere za gospodarenje otpadom koji predstavlja posebne probleme u gospodarenju</w:t>
              <w:tab/>
              <w:t>25</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43">
            <w:r>
              <w:rPr>
                <w:webHidden/>
              </w:rPr>
              <w:fldChar w:fldCharType="begin"/>
            </w:r>
            <w:r>
              <w:rPr>
                <w:webHidden/>
              </w:rPr>
              <w:instrText>PAGEREF _Toc475347843 \h</w:instrText>
            </w:r>
            <w:r>
              <w:rPr>
                <w:webHidden/>
              </w:rPr>
              <w:fldChar w:fldCharType="separate"/>
            </w:r>
            <w:r>
              <w:rPr>
                <w:webHidden/>
                <w:rStyle w:val="IndexLink"/>
                <w:vanish w:val="false"/>
              </w:rPr>
              <w:t>6.5 Mjere za gospodarenje ostalim posebnim kategorijama otpada</w:t>
              <w:tab/>
              <w:t>26</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44">
            <w:r>
              <w:rPr>
                <w:webHidden/>
              </w:rPr>
              <w:fldChar w:fldCharType="begin"/>
            </w:r>
            <w:r>
              <w:rPr>
                <w:webHidden/>
              </w:rPr>
              <w:instrText>PAGEREF _Toc475347844 \h</w:instrText>
            </w:r>
            <w:r>
              <w:rPr>
                <w:webHidden/>
              </w:rPr>
              <w:fldChar w:fldCharType="separate"/>
            </w:r>
            <w:r>
              <w:rPr>
                <w:webHidden/>
                <w:rStyle w:val="IndexLink"/>
                <w:vanish w:val="false"/>
              </w:rPr>
              <w:t>6.6 Akcije sakupljanja otpada</w:t>
              <w:tab/>
              <w:t>26</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45">
            <w:r>
              <w:rPr>
                <w:webHidden/>
              </w:rPr>
              <w:fldChar w:fldCharType="begin"/>
            </w:r>
            <w:r>
              <w:rPr>
                <w:webHidden/>
              </w:rPr>
              <w:instrText>PAGEREF _Toc475347845 \h</w:instrText>
            </w:r>
            <w:r>
              <w:rPr>
                <w:webHidden/>
              </w:rPr>
              <w:fldChar w:fldCharType="separate"/>
            </w:r>
            <w:r>
              <w:rPr>
                <w:webHidden/>
                <w:rStyle w:val="IndexLink"/>
                <w:vanish w:val="false"/>
              </w:rPr>
              <w:t>6.7 Izobrazno-informativne aktivnosti</w:t>
              <w:tab/>
              <w:t>27</w:t>
            </w:r>
            <w:r>
              <w:rPr>
                <w:webHidden/>
              </w:rPr>
              <w:fldChar w:fldCharType="end"/>
            </w:r>
          </w:hyperlink>
        </w:p>
        <w:p>
          <w:pPr>
            <w:pStyle w:val="Contents1"/>
            <w:tabs>
              <w:tab w:val="right" w:pos="9062" w:leader="dot"/>
            </w:tabs>
            <w:rPr>
              <w:rFonts w:ascii="Calibri" w:hAnsi="Calibri" w:eastAsia="" w:asciiTheme="minorHAnsi" w:eastAsiaTheme="minorEastAsia" w:hAnsiTheme="minorHAnsi"/>
              <w:lang w:eastAsia="hr-HR"/>
            </w:rPr>
          </w:pPr>
          <w:hyperlink w:anchor="_Toc475347846">
            <w:r>
              <w:rPr>
                <w:webHidden/>
              </w:rPr>
              <w:fldChar w:fldCharType="begin"/>
            </w:r>
            <w:r>
              <w:rPr>
                <w:webHidden/>
              </w:rPr>
              <w:instrText>PAGEREF _Toc475347846 \h</w:instrText>
            </w:r>
            <w:r>
              <w:rPr>
                <w:webHidden/>
              </w:rPr>
              <w:fldChar w:fldCharType="separate"/>
            </w:r>
            <w:r>
              <w:rPr>
                <w:webHidden/>
                <w:rStyle w:val="IndexLink"/>
                <w:vanish w:val="false"/>
              </w:rPr>
              <w:t>7 OPĆE MJERE ZA GOSPODARENJE OTPADOM, OPASNIM OTPADOM I POSEBNIM KATEGORIJAMA OTPADA</w:t>
              <w:tab/>
              <w:t>28</w:t>
            </w:r>
            <w:r>
              <w:rPr>
                <w:webHidden/>
              </w:rPr>
              <w:fldChar w:fldCharType="end"/>
            </w:r>
          </w:hyperlink>
        </w:p>
        <w:p>
          <w:pPr>
            <w:pStyle w:val="Contents1"/>
            <w:tabs>
              <w:tab w:val="right" w:pos="9062" w:leader="dot"/>
            </w:tabs>
            <w:rPr>
              <w:rFonts w:ascii="Calibri" w:hAnsi="Calibri" w:eastAsia="" w:asciiTheme="minorHAnsi" w:eastAsiaTheme="minorEastAsia" w:hAnsiTheme="minorHAnsi"/>
              <w:lang w:eastAsia="hr-HR"/>
            </w:rPr>
          </w:pPr>
          <w:hyperlink w:anchor="_Toc475347847">
            <w:r>
              <w:rPr>
                <w:webHidden/>
              </w:rPr>
              <w:fldChar w:fldCharType="begin"/>
            </w:r>
            <w:r>
              <w:rPr>
                <w:webHidden/>
              </w:rPr>
              <w:instrText>PAGEREF _Toc475347847 \h</w:instrText>
            </w:r>
            <w:r>
              <w:rPr>
                <w:webHidden/>
              </w:rPr>
              <w:fldChar w:fldCharType="separate"/>
            </w:r>
            <w:r>
              <w:rPr>
                <w:webHidden/>
                <w:rStyle w:val="IndexLink"/>
                <w:vanish w:val="false"/>
              </w:rPr>
              <w:t>8 MJERE PRIKUPLJANJA MIJEŠANOG KOMUNALNOG OTPADA I BIORAZGRADIVOG KOMUNALNOG OTPADA</w:t>
              <w:tab/>
              <w:t>30</w:t>
            </w:r>
            <w:r>
              <w:rPr>
                <w:webHidden/>
              </w:rPr>
              <w:fldChar w:fldCharType="end"/>
            </w:r>
          </w:hyperlink>
        </w:p>
        <w:p>
          <w:pPr>
            <w:pStyle w:val="Contents1"/>
            <w:tabs>
              <w:tab w:val="right" w:pos="9062" w:leader="dot"/>
            </w:tabs>
            <w:rPr>
              <w:rFonts w:ascii="Calibri" w:hAnsi="Calibri" w:eastAsia="" w:asciiTheme="minorHAnsi" w:eastAsiaTheme="minorEastAsia" w:hAnsiTheme="minorHAnsi"/>
              <w:lang w:eastAsia="hr-HR"/>
            </w:rPr>
          </w:pPr>
          <w:hyperlink w:anchor="_Toc475347848">
            <w:r>
              <w:rPr>
                <w:webHidden/>
              </w:rPr>
              <w:fldChar w:fldCharType="begin"/>
            </w:r>
            <w:r>
              <w:rPr>
                <w:webHidden/>
              </w:rPr>
              <w:instrText>PAGEREF _Toc475347848 \h</w:instrText>
            </w:r>
            <w:r>
              <w:rPr>
                <w:webHidden/>
              </w:rPr>
              <w:fldChar w:fldCharType="separate"/>
            </w:r>
            <w:r>
              <w:rPr>
                <w:webHidden/>
                <w:rStyle w:val="IndexLink"/>
                <w:vanish w:val="false"/>
              </w:rPr>
              <w:t>9 MJERE ODVOJENOG PRIKUPLJANJA OTPADNOG PAPIRA, METALA, STAKLA I PLASTIKE, TE KRUPNOG (GLOMAZNOG) KOMUNALNOG OTPADA</w:t>
              <w:tab/>
              <w:t>31</w:t>
            </w:r>
            <w:r>
              <w:rPr>
                <w:webHidden/>
              </w:rPr>
              <w:fldChar w:fldCharType="end"/>
            </w:r>
          </w:hyperlink>
        </w:p>
        <w:p>
          <w:pPr>
            <w:pStyle w:val="Contents1"/>
            <w:tabs>
              <w:tab w:val="right" w:pos="9062" w:leader="dot"/>
            </w:tabs>
            <w:rPr>
              <w:rFonts w:ascii="Calibri" w:hAnsi="Calibri" w:eastAsia="" w:asciiTheme="minorHAnsi" w:eastAsiaTheme="minorEastAsia" w:hAnsiTheme="minorHAnsi"/>
              <w:lang w:eastAsia="hr-HR"/>
            </w:rPr>
          </w:pPr>
          <w:hyperlink w:anchor="_Toc475347849">
            <w:r>
              <w:rPr>
                <w:webHidden/>
              </w:rPr>
              <w:fldChar w:fldCharType="begin"/>
            </w:r>
            <w:r>
              <w:rPr>
                <w:webHidden/>
              </w:rPr>
              <w:instrText>PAGEREF _Toc475347849 \h</w:instrText>
            </w:r>
            <w:r>
              <w:rPr>
                <w:webHidden/>
              </w:rPr>
              <w:fldChar w:fldCharType="separate"/>
            </w:r>
            <w:r>
              <w:rPr>
                <w:webHidden/>
                <w:rStyle w:val="IndexLink"/>
                <w:vanish w:val="false"/>
              </w:rPr>
              <w:t>10 POPIS PROJEKATA VAŽNIH ZA PROVEDBU ODREDBI PLANA</w:t>
              <w:tab/>
              <w:t>32</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50">
            <w:r>
              <w:rPr>
                <w:webHidden/>
              </w:rPr>
              <w:fldChar w:fldCharType="begin"/>
            </w:r>
            <w:r>
              <w:rPr>
                <w:webHidden/>
              </w:rPr>
              <w:instrText>PAGEREF _Toc475347850 \h</w:instrText>
            </w:r>
            <w:r>
              <w:rPr>
                <w:webHidden/>
              </w:rPr>
              <w:fldChar w:fldCharType="separate"/>
            </w:r>
            <w:r>
              <w:rPr>
                <w:webHidden/>
                <w:rStyle w:val="IndexLink"/>
                <w:vanish w:val="false"/>
              </w:rPr>
              <w:t>10.1 Reciklažna dvorišta</w:t>
              <w:tab/>
              <w:t>32</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51">
            <w:r>
              <w:rPr>
                <w:webHidden/>
              </w:rPr>
              <w:fldChar w:fldCharType="begin"/>
            </w:r>
            <w:r>
              <w:rPr>
                <w:webHidden/>
              </w:rPr>
              <w:instrText>PAGEREF _Toc475347851 \h</w:instrText>
            </w:r>
            <w:r>
              <w:rPr>
                <w:webHidden/>
              </w:rPr>
              <w:fldChar w:fldCharType="separate"/>
            </w:r>
            <w:r>
              <w:rPr>
                <w:webHidden/>
                <w:rStyle w:val="IndexLink"/>
                <w:vanish w:val="false"/>
              </w:rPr>
              <w:t>10.2 Zeleni otoci</w:t>
              <w:tab/>
              <w:t>32</w:t>
            </w:r>
            <w:r>
              <w:rPr>
                <w:webHidden/>
              </w:rPr>
              <w:fldChar w:fldCharType="end"/>
            </w:r>
          </w:hyperlink>
        </w:p>
        <w:p>
          <w:pPr>
            <w:pStyle w:val="Contents2"/>
            <w:tabs>
              <w:tab w:val="right" w:pos="9062" w:leader="dot"/>
            </w:tabs>
            <w:rPr>
              <w:rFonts w:ascii="Calibri" w:hAnsi="Calibri" w:eastAsia="" w:asciiTheme="minorHAnsi" w:eastAsiaTheme="minorEastAsia" w:hAnsiTheme="minorHAnsi"/>
              <w:lang w:eastAsia="hr-HR"/>
            </w:rPr>
          </w:pPr>
          <w:hyperlink w:anchor="_Toc475347852">
            <w:r>
              <w:rPr>
                <w:webHidden/>
              </w:rPr>
              <w:fldChar w:fldCharType="begin"/>
            </w:r>
            <w:r>
              <w:rPr>
                <w:webHidden/>
              </w:rPr>
              <w:instrText>PAGEREF _Toc475347852 \h</w:instrText>
            </w:r>
            <w:r>
              <w:rPr>
                <w:webHidden/>
              </w:rPr>
              <w:fldChar w:fldCharType="separate"/>
            </w:r>
            <w:r>
              <w:rPr>
                <w:webHidden/>
                <w:rStyle w:val="IndexLink"/>
                <w:vanish w:val="false"/>
              </w:rPr>
              <w:t>10.3 Ostali objekti</w:t>
              <w:tab/>
              <w:t>33</w:t>
            </w:r>
            <w:r>
              <w:rPr>
                <w:webHidden/>
              </w:rPr>
              <w:fldChar w:fldCharType="end"/>
            </w:r>
          </w:hyperlink>
        </w:p>
        <w:p>
          <w:pPr>
            <w:pStyle w:val="Contents1"/>
            <w:tabs>
              <w:tab w:val="right" w:pos="9062" w:leader="dot"/>
            </w:tabs>
            <w:rPr>
              <w:rFonts w:ascii="Calibri" w:hAnsi="Calibri" w:eastAsia="" w:asciiTheme="minorHAnsi" w:eastAsiaTheme="minorEastAsia" w:hAnsiTheme="minorHAnsi"/>
              <w:lang w:eastAsia="hr-HR"/>
            </w:rPr>
          </w:pPr>
          <w:hyperlink w:anchor="_Toc475347853">
            <w:r>
              <w:rPr>
                <w:webHidden/>
              </w:rPr>
              <w:fldChar w:fldCharType="begin"/>
            </w:r>
            <w:r>
              <w:rPr>
                <w:webHidden/>
              </w:rPr>
              <w:instrText>PAGEREF _Toc475347853 \h</w:instrText>
            </w:r>
            <w:r>
              <w:rPr>
                <w:webHidden/>
              </w:rPr>
              <w:fldChar w:fldCharType="separate"/>
            </w:r>
            <w:r>
              <w:rPr>
                <w:webHidden/>
                <w:rStyle w:val="IndexLink"/>
                <w:vanish w:val="false"/>
              </w:rPr>
              <w:t>11 ORGANIZACIJSKI ASPEKTI, IZVORI I VISINA FINANCIJSKIH SREDSTAVA ZA PROVEDBU MJERA GOSPODARENJA OTPADOM</w:t>
              <w:tab/>
              <w:t>34</w:t>
            </w:r>
            <w:r>
              <w:rPr>
                <w:webHidden/>
              </w:rPr>
              <w:fldChar w:fldCharType="end"/>
            </w:r>
          </w:hyperlink>
        </w:p>
        <w:p>
          <w:pPr>
            <w:pStyle w:val="Contents1"/>
            <w:tabs>
              <w:tab w:val="right" w:pos="9062" w:leader="dot"/>
            </w:tabs>
            <w:rPr>
              <w:rFonts w:ascii="Calibri" w:hAnsi="Calibri" w:eastAsia="" w:asciiTheme="minorHAnsi" w:eastAsiaTheme="minorEastAsia" w:hAnsiTheme="minorHAnsi"/>
              <w:lang w:eastAsia="hr-HR"/>
            </w:rPr>
          </w:pPr>
          <w:hyperlink w:anchor="_Toc475347854">
            <w:r>
              <w:rPr>
                <w:webHidden/>
              </w:rPr>
              <w:fldChar w:fldCharType="begin"/>
            </w:r>
            <w:r>
              <w:rPr>
                <w:webHidden/>
              </w:rPr>
              <w:instrText>PAGEREF _Toc475347854 \h</w:instrText>
            </w:r>
            <w:r>
              <w:rPr>
                <w:webHidden/>
              </w:rPr>
              <w:fldChar w:fldCharType="separate"/>
            </w:r>
            <w:r>
              <w:rPr>
                <w:webHidden/>
                <w:rStyle w:val="IndexLink"/>
                <w:vanish w:val="false"/>
              </w:rPr>
              <w:t>12 ROKOVI I NOSITELJI IZVRŠENJA PLANA GOSPODARENJA OTPADOM</w:t>
              <w:tab/>
              <w:t>36</w:t>
            </w:r>
            <w:r>
              <w:rPr>
                <w:webHidden/>
              </w:rPr>
              <w:fldChar w:fldCharType="end"/>
            </w:r>
          </w:hyperlink>
        </w:p>
        <w:p>
          <w:pPr>
            <w:pStyle w:val="Contents1"/>
            <w:tabs>
              <w:tab w:val="right" w:pos="9062" w:leader="dot"/>
            </w:tabs>
            <w:rPr>
              <w:rFonts w:ascii="Calibri" w:hAnsi="Calibri" w:eastAsia="" w:asciiTheme="minorHAnsi" w:eastAsiaTheme="minorEastAsia" w:hAnsiTheme="minorHAnsi"/>
              <w:lang w:eastAsia="hr-HR"/>
            </w:rPr>
          </w:pPr>
          <w:hyperlink w:anchor="_Toc475347855">
            <w:r>
              <w:rPr>
                <w:webHidden/>
              </w:rPr>
              <w:fldChar w:fldCharType="begin"/>
            </w:r>
            <w:r>
              <w:rPr>
                <w:webHidden/>
              </w:rPr>
              <w:instrText>PAGEREF _Toc475347855 \h</w:instrText>
            </w:r>
            <w:r>
              <w:rPr>
                <w:webHidden/>
              </w:rPr>
              <w:fldChar w:fldCharType="separate"/>
            </w:r>
            <w:r>
              <w:rPr>
                <w:webHidden/>
                <w:rStyle w:val="IndexLink"/>
                <w:vanish w:val="false"/>
              </w:rPr>
              <w:t>13 POPIS ZAKONA I PRAVILNIKA</w:t>
              <w:tab/>
              <w:t>37</w:t>
            </w:r>
            <w:r>
              <w:rPr>
                <w:webHidden/>
              </w:rPr>
              <w:fldChar w:fldCharType="end"/>
            </w:r>
          </w:hyperlink>
        </w:p>
        <w:p>
          <w:pPr>
            <w:pStyle w:val="Normal"/>
            <w:rPr/>
          </w:pPr>
          <w:r>
            <w:rPr/>
          </w:r>
          <w:r>
            <w:fldChar w:fldCharType="end"/>
          </w:r>
        </w:p>
      </w:sdtContent>
    </w:sdt>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rFonts w:cs="Arial"/>
          <w:b/>
          <w:b/>
          <w:sz w:val="24"/>
          <w:szCs w:val="24"/>
        </w:rPr>
      </w:pPr>
      <w:r>
        <w:rPr>
          <w:rFonts w:cs="Arial"/>
          <w:b/>
          <w:sz w:val="24"/>
          <w:szCs w:val="24"/>
        </w:rPr>
        <w:t>POJMOVI</w:t>
      </w:r>
    </w:p>
    <w:p>
      <w:pPr>
        <w:pStyle w:val="Normal"/>
        <w:rPr>
          <w:b/>
          <w:b/>
          <w:sz w:val="24"/>
          <w:szCs w:val="24"/>
        </w:rPr>
      </w:pPr>
      <w:r>
        <w:rPr>
          <w:b/>
          <w:sz w:val="24"/>
          <w:szCs w:val="24"/>
        </w:rPr>
      </w:r>
    </w:p>
    <w:p>
      <w:pPr>
        <w:pStyle w:val="Tijeloteksta1"/>
        <w:spacing w:lineRule="auto" w:line="276"/>
        <w:jc w:val="both"/>
        <w:rPr>
          <w:rFonts w:ascii="Arial" w:hAnsi="Arial" w:cs="Arial"/>
          <w:sz w:val="22"/>
          <w:szCs w:val="22"/>
        </w:rPr>
      </w:pPr>
      <w:r>
        <w:rPr>
          <w:rFonts w:cs="Arial" w:ascii="Arial" w:hAnsi="Arial"/>
          <w:sz w:val="22"/>
          <w:szCs w:val="22"/>
        </w:rPr>
        <w:t>Pojedini pojmovi uporabljeni u ovom Planu imaju sljedeće značenje:</w:t>
      </w:r>
    </w:p>
    <w:p>
      <w:pPr>
        <w:pStyle w:val="Tijeloteksta1"/>
        <w:spacing w:lineRule="auto" w:line="276"/>
        <w:jc w:val="both"/>
        <w:rPr>
          <w:rFonts w:ascii="Arial" w:hAnsi="Arial" w:cs="Arial"/>
          <w:sz w:val="22"/>
          <w:szCs w:val="22"/>
        </w:rPr>
      </w:pPr>
      <w:r>
        <w:rPr>
          <w:rFonts w:cs="Arial" w:ascii="Arial" w:hAnsi="Arial"/>
          <w:sz w:val="22"/>
          <w:szCs w:val="22"/>
        </w:rPr>
        <w:t>1. »biološki razgradivi otpad« je otpad koji se može razgraditi biološkim aerobnim ili anaerobnim postupkom;</w:t>
      </w:r>
    </w:p>
    <w:p>
      <w:pPr>
        <w:pStyle w:val="Tijeloteksta1"/>
        <w:spacing w:lineRule="auto" w:line="276"/>
        <w:jc w:val="both"/>
        <w:rPr>
          <w:rFonts w:ascii="Arial" w:hAnsi="Arial" w:cs="Arial"/>
          <w:sz w:val="22"/>
          <w:szCs w:val="22"/>
        </w:rPr>
      </w:pPr>
      <w:r>
        <w:rPr>
          <w:rFonts w:cs="Arial" w:ascii="Arial" w:hAnsi="Arial"/>
          <w:sz w:val="22"/>
          <w:szCs w:val="22"/>
        </w:rPr>
        <w:t>2. »biootpad« je biološki razgradiv otpad iz vrtova i parkova, hrana i kuhinjski otpad iz kućanstava, restorana, ugostiteljskih i maloprodajnih objekata i slični otpad iz proizvodnje prehrambenih proizvoda;</w:t>
      </w:r>
    </w:p>
    <w:p>
      <w:pPr>
        <w:pStyle w:val="Tijeloteksta1"/>
        <w:spacing w:lineRule="auto" w:line="276"/>
        <w:jc w:val="both"/>
        <w:rPr>
          <w:rFonts w:ascii="Arial" w:hAnsi="Arial" w:cs="Arial"/>
          <w:sz w:val="22"/>
          <w:szCs w:val="22"/>
        </w:rPr>
      </w:pPr>
      <w:r>
        <w:rPr>
          <w:rFonts w:cs="Arial" w:ascii="Arial" w:hAnsi="Arial"/>
          <w:sz w:val="22"/>
          <w:szCs w:val="22"/>
        </w:rPr>
        <w:t>3. »biorazgradivi komunalni otpad« je otpad nastao u kućanstvu i otpad koji je po prirodi i sastavu sličan otpadu iz kućanstva, osim proizvodnog otpada i otpada iz poljoprivrede, šumarstva, a koji u svom sastavu sadrži biološki razgradiv otpad;</w:t>
      </w:r>
    </w:p>
    <w:p>
      <w:pPr>
        <w:pStyle w:val="Tijeloteksta1"/>
        <w:spacing w:lineRule="auto" w:line="276"/>
        <w:jc w:val="both"/>
        <w:rPr>
          <w:rFonts w:ascii="Arial" w:hAnsi="Arial" w:cs="Arial"/>
          <w:sz w:val="22"/>
          <w:szCs w:val="22"/>
        </w:rPr>
      </w:pPr>
      <w:r>
        <w:rPr>
          <w:rFonts w:cs="Arial" w:ascii="Arial" w:hAnsi="Arial"/>
          <w:sz w:val="22"/>
          <w:szCs w:val="22"/>
        </w:rPr>
        <w:t>4. »centar za gospodarenje otpadom« je sklop više međusobno funkcionalno i/ili tehnološki povezanih građevina i uređaja za obradu komunalnog otpada;</w:t>
      </w:r>
    </w:p>
    <w:p>
      <w:pPr>
        <w:pStyle w:val="Tijeloteksta1"/>
        <w:spacing w:lineRule="auto" w:line="276"/>
        <w:jc w:val="both"/>
        <w:rPr>
          <w:rFonts w:ascii="Arial" w:hAnsi="Arial" w:cs="Arial"/>
          <w:sz w:val="22"/>
          <w:szCs w:val="22"/>
        </w:rPr>
      </w:pPr>
      <w:r>
        <w:rPr>
          <w:rFonts w:cs="Arial" w:ascii="Arial" w:hAnsi="Arial"/>
          <w:sz w:val="22"/>
          <w:szCs w:val="22"/>
        </w:rPr>
        <w:t>5. »deklasifikacija« je postupak dokazivanja da je određeni otpad koji je, u skladu s Katalogom otpada, određen kao opasan u pojedinačnom slučaju neopasni otpad;</w:t>
      </w:r>
    </w:p>
    <w:p>
      <w:pPr>
        <w:pStyle w:val="Tijeloteksta1"/>
        <w:spacing w:lineRule="auto" w:line="276"/>
        <w:jc w:val="both"/>
        <w:rPr>
          <w:rFonts w:ascii="Arial" w:hAnsi="Arial" w:cs="Arial"/>
          <w:sz w:val="22"/>
          <w:szCs w:val="22"/>
        </w:rPr>
      </w:pPr>
      <w:bookmarkStart w:id="1" w:name="__DdeLink__4037_95961606"/>
      <w:r>
        <w:rPr>
          <w:rFonts w:cs="Arial" w:ascii="Arial" w:hAnsi="Arial"/>
          <w:sz w:val="22"/>
          <w:szCs w:val="22"/>
        </w:rPr>
        <w:t>6. »djelatnost druge obrade otpada«</w:t>
      </w:r>
      <w:bookmarkEnd w:id="1"/>
      <w:r>
        <w:rPr>
          <w:rFonts w:cs="Arial" w:ascii="Arial" w:hAnsi="Arial"/>
          <w:sz w:val="22"/>
          <w:szCs w:val="22"/>
        </w:rPr>
        <w:t xml:space="preserve"> je postupak pripreme prije oporabe ili zbrinjavanja otpada;</w:t>
      </w:r>
    </w:p>
    <w:p>
      <w:pPr>
        <w:pStyle w:val="Tijeloteksta1"/>
        <w:spacing w:lineRule="auto" w:line="276"/>
        <w:jc w:val="both"/>
        <w:rPr>
          <w:rFonts w:ascii="Arial" w:hAnsi="Arial" w:cs="Arial"/>
          <w:sz w:val="22"/>
          <w:szCs w:val="22"/>
        </w:rPr>
      </w:pPr>
      <w:r>
        <w:rPr>
          <w:rFonts w:cs="Arial" w:ascii="Arial" w:hAnsi="Arial"/>
          <w:sz w:val="22"/>
          <w:szCs w:val="22"/>
        </w:rPr>
        <w:t>7. »djelatnost oporabe otpada« uključuje postupke oporabe propisane Dodatkom II. Zakona o održivom gospodarenju otpadom;</w:t>
      </w:r>
    </w:p>
    <w:p>
      <w:pPr>
        <w:pStyle w:val="Tijeloteksta1"/>
        <w:spacing w:lineRule="auto" w:line="276"/>
        <w:jc w:val="both"/>
        <w:rPr>
          <w:rFonts w:ascii="Arial" w:hAnsi="Arial" w:cs="Arial"/>
          <w:iCs/>
          <w:sz w:val="22"/>
          <w:szCs w:val="22"/>
        </w:rPr>
      </w:pPr>
      <w:r>
        <w:rPr>
          <w:rFonts w:cs="Arial" w:ascii="Arial" w:hAnsi="Arial"/>
          <w:iCs/>
          <w:sz w:val="22"/>
          <w:szCs w:val="22"/>
        </w:rPr>
        <w:t>8. »djelatnost prijevoza otpada« je prijevoz otpada za vlastite potrebe ili za potrebe drugih na teritoriju Republike Hrvatske;</w:t>
      </w:r>
    </w:p>
    <w:p>
      <w:pPr>
        <w:pStyle w:val="Tijeloteksta1"/>
        <w:spacing w:lineRule="auto" w:line="276"/>
        <w:jc w:val="both"/>
        <w:rPr>
          <w:rFonts w:ascii="Arial" w:hAnsi="Arial" w:cs="Arial"/>
          <w:sz w:val="22"/>
          <w:szCs w:val="22"/>
        </w:rPr>
      </w:pPr>
      <w:r>
        <w:rPr>
          <w:rFonts w:cs="Arial" w:ascii="Arial" w:hAnsi="Arial"/>
          <w:sz w:val="22"/>
          <w:szCs w:val="22"/>
        </w:rPr>
        <w:t>9. »djelatnost sakupljanja otpada« uključuje postupke sakupljanja otpada i interventnog sakupljanja otpada i postupak sakupljanja otpada u reciklažno dvorište;</w:t>
      </w:r>
    </w:p>
    <w:p>
      <w:pPr>
        <w:pStyle w:val="Tijeloteksta1"/>
        <w:spacing w:lineRule="auto" w:line="276"/>
        <w:jc w:val="both"/>
        <w:rPr>
          <w:rFonts w:ascii="Arial" w:hAnsi="Arial" w:cs="Arial"/>
          <w:sz w:val="22"/>
          <w:szCs w:val="22"/>
        </w:rPr>
      </w:pPr>
      <w:r>
        <w:rPr>
          <w:rFonts w:cs="Arial" w:ascii="Arial" w:hAnsi="Arial"/>
          <w:sz w:val="22"/>
          <w:szCs w:val="22"/>
        </w:rPr>
        <w:t>10. »djelatnost trgovanja otpadom« je kupovanje i prodavanje otpada sa ili bez preuzimanja otpada u posjed bez obzira na način prodaje;</w:t>
      </w:r>
    </w:p>
    <w:p>
      <w:pPr>
        <w:pStyle w:val="Tijeloteksta1"/>
        <w:spacing w:lineRule="auto" w:line="276"/>
        <w:jc w:val="both"/>
        <w:rPr>
          <w:rFonts w:ascii="Arial" w:hAnsi="Arial" w:cs="Arial"/>
          <w:sz w:val="22"/>
          <w:szCs w:val="22"/>
        </w:rPr>
      </w:pPr>
      <w:r>
        <w:rPr>
          <w:rFonts w:cs="Arial" w:ascii="Arial" w:hAnsi="Arial"/>
          <w:sz w:val="22"/>
          <w:szCs w:val="22"/>
        </w:rPr>
        <w:t>11. »djelatnost zbrinjavanja otpada« uključuje postupke zbrinjavanja otpada propisane Dodatkom I. Zakona o održivom gospodarenju otpadom;</w:t>
      </w:r>
    </w:p>
    <w:p>
      <w:pPr>
        <w:pStyle w:val="Tijeloteksta1"/>
        <w:spacing w:lineRule="auto" w:line="276"/>
        <w:jc w:val="both"/>
        <w:rPr>
          <w:rFonts w:ascii="Arial" w:hAnsi="Arial" w:cs="Arial"/>
          <w:sz w:val="22"/>
          <w:szCs w:val="22"/>
        </w:rPr>
      </w:pPr>
      <w:r>
        <w:rPr>
          <w:rFonts w:cs="Arial" w:ascii="Arial" w:hAnsi="Arial"/>
          <w:sz w:val="22"/>
          <w:szCs w:val="22"/>
        </w:rPr>
        <w:t>12. »gospodarenje otpadom« su djelatnosti sakupljanja, prijevoza, oporabe i zbrinjavanja i druge obrade otpada, uključujući nadzor nad tim postupcima te nadzor i mjere koje se provode na lokacijama nakon zbrinjavanja otpada, te radnje koje poduzimaju trgovac otpadom ili posrednik;</w:t>
      </w:r>
    </w:p>
    <w:p>
      <w:pPr>
        <w:pStyle w:val="Tijeloteksta1"/>
        <w:spacing w:lineRule="auto" w:line="276"/>
        <w:jc w:val="both"/>
        <w:rPr>
          <w:rFonts w:ascii="Arial" w:hAnsi="Arial" w:cs="Arial"/>
          <w:sz w:val="22"/>
          <w:szCs w:val="22"/>
        </w:rPr>
      </w:pPr>
      <w:r>
        <w:rPr>
          <w:rFonts w:cs="Arial" w:ascii="Arial" w:hAnsi="Arial"/>
          <w:sz w:val="22"/>
          <w:szCs w:val="22"/>
        </w:rPr>
        <w:t>13. »građevina za gospodarenje otpadom« je građevina za sakupljanje otpada (skladište otpada, pretovarna stanica i reciklažno dvorište), građevina za obradu otpada i centar za gospodarenje otpadom. Ne smatra se građevinom za gospodarenje otpadom građevina druge namjene u kojoj se obavlja djelatnost oporabe otpada;</w:t>
      </w:r>
    </w:p>
    <w:p>
      <w:pPr>
        <w:pStyle w:val="Tijeloteksta1"/>
        <w:spacing w:lineRule="auto" w:line="276"/>
        <w:jc w:val="both"/>
        <w:rPr>
          <w:rFonts w:ascii="Arial" w:hAnsi="Arial" w:cs="Arial"/>
          <w:sz w:val="22"/>
          <w:szCs w:val="22"/>
        </w:rPr>
      </w:pPr>
      <w:r>
        <w:rPr>
          <w:rFonts w:cs="Arial" w:ascii="Arial" w:hAnsi="Arial"/>
          <w:sz w:val="22"/>
          <w:szCs w:val="22"/>
        </w:rPr>
        <w:t>14. »građevni otpad« je otpad nastao prilikom gradnje građevina, rekonstrukcije, uklanjanja i održavanja postojećih građevina, te otpad nastao od iskopanog materijala, koji se ne može bez prethodne oporabe koristiti za građenje građevine zbog kojeg građenja je nastao;</w:t>
      </w:r>
    </w:p>
    <w:p>
      <w:pPr>
        <w:pStyle w:val="Tijeloteksta1"/>
        <w:spacing w:lineRule="auto" w:line="276"/>
        <w:jc w:val="both"/>
        <w:rPr>
          <w:rFonts w:ascii="Arial" w:hAnsi="Arial" w:cs="Arial"/>
          <w:sz w:val="22"/>
          <w:szCs w:val="22"/>
        </w:rPr>
      </w:pPr>
      <w:r>
        <w:rPr>
          <w:rFonts w:cs="Arial" w:ascii="Arial" w:hAnsi="Arial"/>
          <w:sz w:val="22"/>
          <w:szCs w:val="22"/>
        </w:rPr>
        <w:t>15. »interventno sakupljanje otpada« je sakupljanje otpada uređajima i opremom u svrhu hitnog uklanjanja otpada s određene lokacije radi sprječavanja nastanka i/ili smanjenja na najmanju moguću mjeru onečišćenja okoliša, ugrožavanja ljudskog zdravlja, uzrokovanja šteta biljnom i životinjskom svijetu i drugih šteta;</w:t>
      </w:r>
    </w:p>
    <w:p>
      <w:pPr>
        <w:pStyle w:val="Tijeloteksta1"/>
        <w:spacing w:lineRule="auto" w:line="276"/>
        <w:jc w:val="both"/>
        <w:rPr>
          <w:rFonts w:ascii="Arial" w:hAnsi="Arial" w:cs="Arial"/>
          <w:sz w:val="22"/>
          <w:szCs w:val="22"/>
        </w:rPr>
      </w:pPr>
      <w:r>
        <w:rPr>
          <w:rFonts w:cs="Arial" w:ascii="Arial" w:hAnsi="Arial"/>
          <w:sz w:val="22"/>
          <w:szCs w:val="22"/>
        </w:rPr>
        <w:t>16. »inertni otpad« je otpad koji ne podliježe značajnim fizikalnim, kemijskim i/ili biološkim promjenama;</w:t>
      </w:r>
    </w:p>
    <w:p>
      <w:pPr>
        <w:pStyle w:val="Tijeloteksta1"/>
        <w:spacing w:lineRule="auto" w:line="276"/>
        <w:jc w:val="both"/>
        <w:rPr>
          <w:rFonts w:ascii="Arial" w:hAnsi="Arial" w:cs="Arial"/>
          <w:sz w:val="22"/>
          <w:szCs w:val="22"/>
        </w:rPr>
      </w:pPr>
      <w:r>
        <w:rPr>
          <w:rFonts w:cs="Arial" w:ascii="Arial" w:hAnsi="Arial"/>
          <w:sz w:val="22"/>
          <w:szCs w:val="22"/>
        </w:rPr>
        <w:t>17. »krupni (glomazni) komunalni otpad« je predmet ili tvar koju je zbog zapremine i/ili mase neprikladno prikupljati u sklopu usluge prikupljanja miješanog komunalnog otpada i određen je naputkom iz članka 29. stavka 11. Zakona o održivom gospodarenju otpadom;</w:t>
      </w:r>
    </w:p>
    <w:p>
      <w:pPr>
        <w:pStyle w:val="Tijeloteksta1"/>
        <w:spacing w:lineRule="auto" w:line="276"/>
        <w:jc w:val="both"/>
        <w:rPr>
          <w:rFonts w:ascii="Arial" w:hAnsi="Arial" w:cs="Arial"/>
          <w:sz w:val="22"/>
          <w:szCs w:val="22"/>
        </w:rPr>
      </w:pPr>
      <w:r>
        <w:rPr>
          <w:rFonts w:cs="Arial" w:ascii="Arial" w:hAnsi="Arial"/>
          <w:sz w:val="22"/>
          <w:szCs w:val="22"/>
        </w:rPr>
        <w:t>18. »komunalni otpad« je otpad nastao u kućanstvu i otpad koji je po prirodi i sastavu sličan otpadu iz kućanstva, osim proizvodnog otpada i otpada iz poljoprivrede i šumarstva;</w:t>
      </w:r>
    </w:p>
    <w:p>
      <w:pPr>
        <w:pStyle w:val="Tijeloteksta1"/>
        <w:spacing w:lineRule="auto" w:line="276"/>
        <w:jc w:val="both"/>
        <w:rPr>
          <w:rFonts w:ascii="Arial" w:hAnsi="Arial" w:cs="Arial"/>
          <w:sz w:val="22"/>
          <w:szCs w:val="22"/>
        </w:rPr>
      </w:pPr>
      <w:r>
        <w:rPr>
          <w:rFonts w:cs="Arial" w:ascii="Arial" w:hAnsi="Arial"/>
          <w:sz w:val="22"/>
          <w:szCs w:val="22"/>
        </w:rPr>
        <w:t>19. »materijalna oporaba« je svaki postupak oporabe koji ne uključuje energetsku oporabu i preradu u materijale koji će se koristiti kao gorivo;</w:t>
      </w:r>
    </w:p>
    <w:p>
      <w:pPr>
        <w:pStyle w:val="Tijeloteksta1"/>
        <w:spacing w:lineRule="auto" w:line="276"/>
        <w:jc w:val="both"/>
        <w:rPr>
          <w:rFonts w:ascii="Arial" w:hAnsi="Arial" w:cs="Arial"/>
          <w:sz w:val="22"/>
          <w:szCs w:val="22"/>
        </w:rPr>
      </w:pPr>
      <w:r>
        <w:rPr>
          <w:rFonts w:cs="Arial" w:ascii="Arial" w:hAnsi="Arial"/>
          <w:sz w:val="22"/>
          <w:szCs w:val="22"/>
        </w:rPr>
        <w:t>20. »miješani komunalni otpad« je otpad iz kućanstava i otpad iz trgovina, industrije i iz ustanova koji je po svojstvima i sastavu sličan otpadu iz kućanstava, iz kojeg posebnim postupkom nisu izdvojeni pojedini materijali (kao što je papir, staklo i dr.) te je u Katalogu otpada označen kao 20 03 01;</w:t>
      </w:r>
    </w:p>
    <w:p>
      <w:pPr>
        <w:pStyle w:val="Tijeloteksta1"/>
        <w:spacing w:lineRule="auto" w:line="276"/>
        <w:jc w:val="both"/>
        <w:rPr>
          <w:rFonts w:ascii="Arial" w:hAnsi="Arial" w:cs="Arial"/>
          <w:sz w:val="22"/>
          <w:szCs w:val="22"/>
        </w:rPr>
      </w:pPr>
      <w:r>
        <w:rPr>
          <w:rFonts w:cs="Arial" w:ascii="Arial" w:hAnsi="Arial"/>
          <w:sz w:val="22"/>
          <w:szCs w:val="22"/>
        </w:rPr>
        <w:t>21. »mobilni uređaj za obradu otpada« je pokretna tehnička jedinica u kojoj se otpad obrađuje, u pravilu, na mjestu nastanka ili na mjestu ugradnje u materijale postupcima obrade, osim R1, D1, D2, D3, D4, D5, D6, D7, D10, D11 i D12 i postupaka R i D u kojima nastaje otpadna voda koja se ispušta u okoliš. Mobilnim uređajem za obradu otpada ne smatra se onaj uređaj koji se koristi duže od šest mjeseci na određenoj lokaciji, osim mobilnog uređaja kojim se koristi radi sanacije onečišćene lokacije;</w:t>
      </w:r>
    </w:p>
    <w:p>
      <w:pPr>
        <w:pStyle w:val="Tijeloteksta1"/>
        <w:spacing w:lineRule="auto" w:line="276"/>
        <w:jc w:val="both"/>
        <w:rPr>
          <w:rFonts w:ascii="Arial" w:hAnsi="Arial" w:cs="Arial"/>
          <w:sz w:val="22"/>
          <w:szCs w:val="22"/>
        </w:rPr>
      </w:pPr>
      <w:r>
        <w:rPr>
          <w:rFonts w:cs="Arial" w:ascii="Arial" w:hAnsi="Arial"/>
          <w:sz w:val="22"/>
          <w:szCs w:val="22"/>
        </w:rPr>
        <w:t>22. »nasipavanje otpada« je postupak oporabe pri kojem se odgovarajući otpad koristi za nasipavanje iskopanih površina ili u tehničke svrhe pri krajobraznom uređenju i kojim se otpad koristi kao zamjena za materijal koji nije otpad sukladno Zakonu o održivom gospodarenju otpadom i propisima donesenim na temelju Zakona o održivom gospodarenju otpadom;</w:t>
      </w:r>
    </w:p>
    <w:p>
      <w:pPr>
        <w:pStyle w:val="Tijeloteksta1"/>
        <w:spacing w:lineRule="auto" w:line="276"/>
        <w:jc w:val="both"/>
        <w:rPr>
          <w:rFonts w:ascii="Arial" w:hAnsi="Arial" w:cs="Arial"/>
          <w:sz w:val="22"/>
          <w:szCs w:val="22"/>
        </w:rPr>
      </w:pPr>
      <w:r>
        <w:rPr>
          <w:rFonts w:cs="Arial" w:ascii="Arial" w:hAnsi="Arial"/>
          <w:sz w:val="22"/>
          <w:szCs w:val="22"/>
        </w:rPr>
        <w:t>23. »najbolje raspoložive tehnike« su najbolje raspoložive tehnike sukladno zakonu kojim se uređuje zaštita okoliša;</w:t>
      </w:r>
    </w:p>
    <w:p>
      <w:pPr>
        <w:pStyle w:val="Tijeloteksta1"/>
        <w:spacing w:lineRule="auto" w:line="276"/>
        <w:jc w:val="both"/>
        <w:rPr>
          <w:rFonts w:ascii="Arial" w:hAnsi="Arial" w:cs="Arial"/>
          <w:sz w:val="22"/>
          <w:szCs w:val="22"/>
        </w:rPr>
      </w:pPr>
      <w:r>
        <w:rPr>
          <w:rFonts w:cs="Arial" w:ascii="Arial" w:hAnsi="Arial"/>
          <w:sz w:val="22"/>
          <w:szCs w:val="22"/>
        </w:rPr>
        <w:t>24. »neopasni otpad« je otpad koji ne posjeduje niti jedno od opasnih svojstava;</w:t>
      </w:r>
    </w:p>
    <w:p>
      <w:pPr>
        <w:pStyle w:val="Tijeloteksta1"/>
        <w:spacing w:lineRule="auto" w:line="276"/>
        <w:jc w:val="both"/>
        <w:rPr>
          <w:rFonts w:ascii="Arial" w:hAnsi="Arial" w:cs="Arial"/>
          <w:sz w:val="22"/>
          <w:szCs w:val="22"/>
        </w:rPr>
      </w:pPr>
      <w:r>
        <w:rPr>
          <w:rFonts w:cs="Arial" w:ascii="Arial" w:hAnsi="Arial"/>
          <w:sz w:val="22"/>
          <w:szCs w:val="22"/>
        </w:rPr>
        <w:t>25. »neusklađeno odlagalište« je odlagalište koje ne ispunjava uvjete propisane pravilnikom iz članka 104.  Zakona o održivom gospodarenju otpadom i određeno je odlukom iz članka 26. stavka 6. Zakona o održivom gospodarenju otpadom;</w:t>
      </w:r>
    </w:p>
    <w:p>
      <w:pPr>
        <w:pStyle w:val="Tijeloteksta1"/>
        <w:spacing w:lineRule="auto" w:line="276"/>
        <w:jc w:val="both"/>
        <w:rPr>
          <w:rFonts w:ascii="Arial" w:hAnsi="Arial" w:cs="Arial"/>
          <w:sz w:val="22"/>
          <w:szCs w:val="22"/>
        </w:rPr>
      </w:pPr>
      <w:r>
        <w:rPr>
          <w:rFonts w:cs="Arial" w:ascii="Arial" w:hAnsi="Arial"/>
          <w:sz w:val="22"/>
          <w:szCs w:val="22"/>
        </w:rPr>
        <w:t>26. »obrada otpada« su postupci oporabe ili zbrinjavanja i postupci pripreme prije oporabe ili zbrinjavanja;</w:t>
      </w:r>
    </w:p>
    <w:p>
      <w:pPr>
        <w:pStyle w:val="Tijeloteksta1"/>
        <w:spacing w:lineRule="auto" w:line="276"/>
        <w:jc w:val="both"/>
        <w:rPr>
          <w:rFonts w:ascii="Arial" w:hAnsi="Arial" w:cs="Arial"/>
          <w:sz w:val="22"/>
          <w:szCs w:val="22"/>
        </w:rPr>
      </w:pPr>
      <w:r>
        <w:rPr>
          <w:rFonts w:cs="Arial" w:ascii="Arial" w:hAnsi="Arial"/>
          <w:sz w:val="22"/>
          <w:szCs w:val="22"/>
        </w:rPr>
        <w:t>27. »odlagalište otpada« je građevina namijenjena odlaganju otpada na površinu ili pod zemlju (podzemno odlagalište), uključujući:</w:t>
      </w:r>
    </w:p>
    <w:p>
      <w:pPr>
        <w:pStyle w:val="Tijeloteksta1"/>
        <w:spacing w:lineRule="auto" w:line="276"/>
        <w:jc w:val="both"/>
        <w:rPr>
          <w:rFonts w:ascii="Arial" w:hAnsi="Arial" w:cs="Arial"/>
          <w:sz w:val="22"/>
          <w:szCs w:val="22"/>
        </w:rPr>
      </w:pPr>
      <w:r>
        <w:rPr>
          <w:rFonts w:cs="Arial" w:ascii="Arial" w:hAnsi="Arial"/>
          <w:sz w:val="22"/>
          <w:szCs w:val="22"/>
        </w:rPr>
        <w:t>a. interno odlagalište otpada na kojem proizvođač odlaže svoj otpad na samom mjestu proizvodnje,</w:t>
      </w:r>
    </w:p>
    <w:p>
      <w:pPr>
        <w:pStyle w:val="Tijeloteksta1"/>
        <w:spacing w:lineRule="auto" w:line="276"/>
        <w:jc w:val="both"/>
        <w:rPr>
          <w:rFonts w:ascii="Arial" w:hAnsi="Arial" w:cs="Arial"/>
          <w:sz w:val="22"/>
          <w:szCs w:val="22"/>
        </w:rPr>
      </w:pPr>
      <w:r>
        <w:rPr>
          <w:rFonts w:cs="Arial" w:ascii="Arial" w:hAnsi="Arial"/>
          <w:sz w:val="22"/>
          <w:szCs w:val="22"/>
        </w:rPr>
        <w:t>b. odlagalište otpada ili njegov dio koji se može koristiti za privremeno skladištenje otpada (npr. za razdoblje duže od jedne godine),</w:t>
      </w:r>
    </w:p>
    <w:p>
      <w:pPr>
        <w:pStyle w:val="Tijeloteksta1"/>
        <w:spacing w:lineRule="auto" w:line="276"/>
        <w:jc w:val="both"/>
        <w:rPr>
          <w:rFonts w:ascii="Arial" w:hAnsi="Arial" w:cs="Arial"/>
          <w:sz w:val="22"/>
          <w:szCs w:val="22"/>
        </w:rPr>
      </w:pPr>
      <w:r>
        <w:rPr>
          <w:rFonts w:cs="Arial" w:ascii="Arial" w:hAnsi="Arial"/>
          <w:sz w:val="22"/>
          <w:szCs w:val="22"/>
        </w:rPr>
        <w:t>c. iskorištene površinske kopove ili njihove dijelove nastale rudarskom eksploatacijom i/ili istraživanjem pogodne za odlaganje otpada</w:t>
      </w:r>
    </w:p>
    <w:p>
      <w:pPr>
        <w:pStyle w:val="Tijeloteksta1"/>
        <w:spacing w:lineRule="auto" w:line="276"/>
        <w:jc w:val="both"/>
        <w:rPr>
          <w:rFonts w:ascii="Arial" w:hAnsi="Arial" w:cs="Arial"/>
          <w:sz w:val="22"/>
          <w:szCs w:val="22"/>
        </w:rPr>
      </w:pPr>
      <w:r>
        <w:rPr>
          <w:rFonts w:cs="Arial" w:ascii="Arial" w:hAnsi="Arial"/>
          <w:sz w:val="22"/>
          <w:szCs w:val="22"/>
        </w:rPr>
        <w:t>28. »odvojeno sakupljanje« je sakupljanje otpada na način da se otpad odvaja prema njegovoj vrsti i svojstvima kako bi se olakšala obrada i sačuvala vrijedna svojstva otpada;</w:t>
      </w:r>
    </w:p>
    <w:p>
      <w:pPr>
        <w:pStyle w:val="Tijeloteksta1"/>
        <w:spacing w:lineRule="auto" w:line="276"/>
        <w:jc w:val="both"/>
        <w:rPr>
          <w:rFonts w:ascii="Arial" w:hAnsi="Arial" w:cs="Arial"/>
          <w:bCs/>
          <w:sz w:val="22"/>
          <w:szCs w:val="22"/>
        </w:rPr>
      </w:pPr>
      <w:r>
        <w:rPr>
          <w:rFonts w:cs="Arial" w:ascii="Arial" w:hAnsi="Arial"/>
          <w:bCs/>
          <w:sz w:val="22"/>
          <w:szCs w:val="22"/>
        </w:rPr>
        <w:t xml:space="preserve">29. »opasni otpad« je otpad koji posjeduje jedno ili više opasnih svojstava </w:t>
      </w:r>
    </w:p>
    <w:p>
      <w:pPr>
        <w:pStyle w:val="Tijeloteksta1"/>
        <w:spacing w:lineRule="auto" w:line="276"/>
        <w:jc w:val="both"/>
        <w:rPr>
          <w:rFonts w:ascii="Arial" w:hAnsi="Arial" w:cs="Arial"/>
          <w:sz w:val="22"/>
          <w:szCs w:val="22"/>
        </w:rPr>
      </w:pPr>
      <w:r>
        <w:rPr>
          <w:rFonts w:cs="Arial" w:ascii="Arial" w:hAnsi="Arial"/>
          <w:sz w:val="22"/>
          <w:szCs w:val="22"/>
        </w:rPr>
        <w:t>30. »oporaba otpada« je svaki postupak čiji je glavni rezultat uporaba otpada u korisne svrhe kada otpad zamjenjuje druge materijale koje bi inače trebalo uporabiti za tu svrhu ili otpad koji se priprema kako bi ispunio tu svrhu, u tvornici ili u širem gospodarskom smislu. U Dodatku II. Zakona o održivom gospodarenju otpadom sadržan je popis postupaka oporabe koji ne isključuje druge moguće postupke oporabe;</w:t>
      </w:r>
    </w:p>
    <w:p>
      <w:pPr>
        <w:pStyle w:val="Tijeloteksta1"/>
        <w:spacing w:lineRule="auto" w:line="276"/>
        <w:jc w:val="both"/>
        <w:rPr>
          <w:rFonts w:ascii="Arial" w:hAnsi="Arial" w:cs="Arial"/>
          <w:sz w:val="22"/>
          <w:szCs w:val="22"/>
        </w:rPr>
      </w:pPr>
      <w:r>
        <w:rPr>
          <w:rFonts w:cs="Arial" w:ascii="Arial" w:hAnsi="Arial"/>
          <w:sz w:val="22"/>
          <w:szCs w:val="22"/>
        </w:rPr>
        <w:t>31. »otpad« je svaka tvar ili predmet koji posjednik odbacuje, namjerava ili mora odbaciti. Otpadom se smatra i svaki predmet i tvar čije su sakupljanje, prijevoz i obrada nužni u svrhu zaštite javnog interesa;</w:t>
      </w:r>
    </w:p>
    <w:p>
      <w:pPr>
        <w:pStyle w:val="Tijeloteksta1"/>
        <w:spacing w:lineRule="auto" w:line="276"/>
        <w:jc w:val="both"/>
        <w:rPr>
          <w:rFonts w:ascii="Arial" w:hAnsi="Arial" w:cs="Arial"/>
          <w:sz w:val="22"/>
          <w:szCs w:val="22"/>
        </w:rPr>
      </w:pPr>
      <w:r>
        <w:rPr>
          <w:rFonts w:cs="Arial" w:ascii="Arial" w:hAnsi="Arial"/>
          <w:sz w:val="22"/>
          <w:szCs w:val="22"/>
        </w:rPr>
        <w:t>32. »ovlaštenik« je pravna ili fizička osoba - obrtnik kojem je prema Zakonu o održivom gospodarenju otpadom dana suglasnost za sklapanje ugovora s Fondom za zaštitu okoliša i energetsku učinkovitost u vezi gospodarenja posebnom kategorijom otpada;</w:t>
      </w:r>
    </w:p>
    <w:p>
      <w:pPr>
        <w:pStyle w:val="Tijeloteksta1"/>
        <w:spacing w:lineRule="auto" w:line="276"/>
        <w:jc w:val="both"/>
        <w:rPr>
          <w:rFonts w:ascii="Arial" w:hAnsi="Arial" w:cs="Arial"/>
          <w:sz w:val="22"/>
          <w:szCs w:val="22"/>
        </w:rPr>
      </w:pPr>
      <w:r>
        <w:rPr>
          <w:rFonts w:cs="Arial" w:ascii="Arial" w:hAnsi="Arial"/>
          <w:sz w:val="22"/>
          <w:szCs w:val="22"/>
        </w:rPr>
        <w:t>33. »ponovna uporaba« je svaki postupak kojim se omogućava ponovno korištenje proizvoda ili dijelova proizvoda, koji nisu otpad, u istu svrhu za koju su izvorno načinjeni;</w:t>
      </w:r>
    </w:p>
    <w:p>
      <w:pPr>
        <w:pStyle w:val="Tijeloteksta1"/>
        <w:spacing w:lineRule="auto" w:line="276"/>
        <w:jc w:val="both"/>
        <w:rPr>
          <w:rFonts w:ascii="Arial" w:hAnsi="Arial" w:cs="Arial"/>
          <w:bCs/>
          <w:sz w:val="22"/>
          <w:szCs w:val="22"/>
        </w:rPr>
      </w:pPr>
      <w:r>
        <w:rPr>
          <w:rFonts w:cs="Arial" w:ascii="Arial" w:hAnsi="Arial"/>
          <w:bCs/>
          <w:sz w:val="22"/>
          <w:szCs w:val="22"/>
        </w:rPr>
        <w:t>34. »posjednik otpada« je proizvođač otpada ili pravna i fizička osoba koja je u posjedu otpada;</w:t>
      </w:r>
    </w:p>
    <w:p>
      <w:pPr>
        <w:pStyle w:val="Tijeloteksta1"/>
        <w:spacing w:lineRule="auto" w:line="276"/>
        <w:jc w:val="both"/>
        <w:rPr>
          <w:rFonts w:ascii="Arial" w:hAnsi="Arial" w:cs="Arial"/>
          <w:sz w:val="22"/>
          <w:szCs w:val="22"/>
        </w:rPr>
      </w:pPr>
      <w:r>
        <w:rPr>
          <w:rFonts w:cs="Arial" w:ascii="Arial" w:hAnsi="Arial"/>
          <w:sz w:val="22"/>
          <w:szCs w:val="22"/>
        </w:rPr>
        <w:t>35. »postupci gospodarenja otpadom« su: sakupljanje otpada, interventno sakupljanje otpada, priprema za ponovnu uporabu, priprema prije oporabe i zbrinjavanja, postupci oporabe i zbrinjavanja, trgovanje otpadom, posredovanje u gospodarenju otpadom, prijevoz otpada, energetska oporaba određenog otpada, sakupljanje otpada u reciklažno dvorište i privremeno skladištenje vlastitog proizvodnog otpada;</w:t>
      </w:r>
    </w:p>
    <w:p>
      <w:pPr>
        <w:pStyle w:val="Tijeloteksta1"/>
        <w:spacing w:lineRule="auto" w:line="276"/>
        <w:jc w:val="both"/>
        <w:rPr>
          <w:rFonts w:ascii="Arial" w:hAnsi="Arial" w:cs="Arial"/>
          <w:sz w:val="22"/>
          <w:szCs w:val="22"/>
        </w:rPr>
      </w:pPr>
      <w:r>
        <w:rPr>
          <w:rFonts w:cs="Arial" w:ascii="Arial" w:hAnsi="Arial"/>
          <w:sz w:val="22"/>
          <w:szCs w:val="22"/>
        </w:rPr>
        <w:t>36. »pretovarna stanica« (transfer stanica) je građevina za skladištenje, pripremu i pretovar otpada namijenjenog prijevozu prema mjestu njegove oporabe ili zbrinjavanja;</w:t>
      </w:r>
    </w:p>
    <w:p>
      <w:pPr>
        <w:pStyle w:val="Tijeloteksta1"/>
        <w:spacing w:lineRule="auto" w:line="276"/>
        <w:jc w:val="both"/>
        <w:rPr>
          <w:rFonts w:ascii="Arial" w:hAnsi="Arial" w:cs="Arial"/>
          <w:sz w:val="22"/>
          <w:szCs w:val="22"/>
        </w:rPr>
      </w:pPr>
      <w:r>
        <w:rPr>
          <w:rFonts w:cs="Arial" w:ascii="Arial" w:hAnsi="Arial"/>
          <w:sz w:val="22"/>
          <w:szCs w:val="22"/>
        </w:rPr>
        <w:t>37. »problematični otpad« je opasni otpad iz podgrupe 20 01 Kataloga otpada koji uobičajeno nastaje u kućanstvu te opasni otpad koji je po svojstvima, sastavu i količini usporediv s opasnim otpadom koji uobičajeno nastaje u kućanstvu pri čemu se problematičnim otpadom smatra sve dok se nalazi kod proizvođača tog otpada;</w:t>
      </w:r>
    </w:p>
    <w:p>
      <w:pPr>
        <w:pStyle w:val="Tijeloteksta1"/>
        <w:spacing w:lineRule="auto" w:line="276"/>
        <w:jc w:val="both"/>
        <w:rPr>
          <w:rFonts w:ascii="Arial" w:hAnsi="Arial" w:cs="Arial"/>
          <w:sz w:val="22"/>
          <w:szCs w:val="22"/>
        </w:rPr>
      </w:pPr>
      <w:r>
        <w:rPr>
          <w:rFonts w:cs="Arial" w:ascii="Arial" w:hAnsi="Arial"/>
          <w:sz w:val="22"/>
          <w:szCs w:val="22"/>
        </w:rPr>
        <w:t>38. »proizvodni otpad« je otpad koji nastaje u proizvodnom procesu u industriji, obrtu i drugim procesima, osim ostataka iz proizvodnog procesa koji se koriste u proizvodnom procesu istog proizvođača;</w:t>
      </w:r>
    </w:p>
    <w:p>
      <w:pPr>
        <w:pStyle w:val="Tijeloteksta1"/>
        <w:spacing w:lineRule="auto" w:line="276"/>
        <w:jc w:val="both"/>
        <w:rPr>
          <w:rFonts w:ascii="Arial" w:hAnsi="Arial" w:cs="Arial"/>
          <w:bCs/>
          <w:sz w:val="22"/>
          <w:szCs w:val="22"/>
        </w:rPr>
      </w:pPr>
      <w:r>
        <w:rPr>
          <w:rFonts w:cs="Arial" w:ascii="Arial" w:hAnsi="Arial"/>
          <w:bCs/>
          <w:sz w:val="22"/>
          <w:szCs w:val="22"/>
        </w:rPr>
        <w:t>39. »proizvođač otpada« je svaka osoba čijom aktivnošću nastaje otpad i/ili koja prethodnom obradom, miješanjem ili drugim postupkom mijenja sastav ili svojstva otpada;</w:t>
      </w:r>
    </w:p>
    <w:p>
      <w:pPr>
        <w:pStyle w:val="Tijeloteksta1"/>
        <w:spacing w:lineRule="auto" w:line="276"/>
        <w:jc w:val="both"/>
        <w:rPr>
          <w:rFonts w:ascii="Arial" w:hAnsi="Arial" w:cs="Arial"/>
          <w:sz w:val="22"/>
          <w:szCs w:val="22"/>
        </w:rPr>
      </w:pPr>
      <w:r>
        <w:rPr>
          <w:rFonts w:cs="Arial" w:ascii="Arial" w:hAnsi="Arial"/>
          <w:sz w:val="22"/>
          <w:szCs w:val="22"/>
        </w:rPr>
        <w:t>40. »reciklažno dvorište« je nadzirani ograđeni prostor namijenjen odvojenom prikupljanju i privremenom skladištenju manjih količina posebnih vrsta otpada;</w:t>
      </w:r>
    </w:p>
    <w:p>
      <w:pPr>
        <w:pStyle w:val="Tijeloteksta1"/>
        <w:spacing w:lineRule="auto" w:line="276"/>
        <w:jc w:val="both"/>
        <w:rPr>
          <w:rFonts w:ascii="Arial" w:hAnsi="Arial" w:cs="Arial"/>
          <w:sz w:val="22"/>
          <w:szCs w:val="22"/>
        </w:rPr>
      </w:pPr>
      <w:r>
        <w:rPr>
          <w:rFonts w:cs="Arial" w:ascii="Arial" w:hAnsi="Arial"/>
          <w:sz w:val="22"/>
          <w:szCs w:val="22"/>
        </w:rPr>
        <w:t>41. »reciklažno dvorište za građevni otpad« je građevina namijenjena razvrstavanju, mehaničkoj obradi i privremenom skladištenju građevnog otpada;</w:t>
      </w:r>
    </w:p>
    <w:p>
      <w:pPr>
        <w:pStyle w:val="Tijeloteksta1"/>
        <w:spacing w:lineRule="auto" w:line="276"/>
        <w:jc w:val="both"/>
        <w:rPr>
          <w:rFonts w:ascii="Arial" w:hAnsi="Arial" w:cs="Arial"/>
          <w:sz w:val="22"/>
          <w:szCs w:val="22"/>
        </w:rPr>
      </w:pPr>
      <w:r>
        <w:rPr>
          <w:rFonts w:cs="Arial" w:ascii="Arial" w:hAnsi="Arial"/>
          <w:sz w:val="22"/>
          <w:szCs w:val="22"/>
        </w:rPr>
        <w:t>42. »recikliranje« je svaki postupak oporabe, uključujući ponovnu preradu organskog materijala, kojim se otpadni materijali prerađuju u proizvode, materijale ili tvari za izvornu ili drugu svrhu osim uporabe otpada u energetske svrhe, odnosno prerade u materijal koji se koristi kao gorivo ili materijal za zatrpavanje;</w:t>
      </w:r>
    </w:p>
    <w:p>
      <w:pPr>
        <w:pStyle w:val="Tijeloteksta1"/>
        <w:spacing w:lineRule="auto" w:line="276"/>
        <w:jc w:val="both"/>
        <w:rPr>
          <w:rFonts w:ascii="Arial" w:hAnsi="Arial" w:cs="Arial"/>
          <w:sz w:val="22"/>
          <w:szCs w:val="22"/>
        </w:rPr>
      </w:pPr>
      <w:r>
        <w:rPr>
          <w:rFonts w:cs="Arial" w:ascii="Arial" w:hAnsi="Arial"/>
          <w:sz w:val="22"/>
          <w:szCs w:val="22"/>
        </w:rPr>
        <w:t>43. »sakupljanje otpada« je prikupljanje otpada, uključujući prethodno razvrstavanje otpada i skladištenje otpada u svrhu prijevoza na obradu;</w:t>
      </w:r>
    </w:p>
    <w:p>
      <w:pPr>
        <w:pStyle w:val="Tijeloteksta1"/>
        <w:spacing w:lineRule="auto" w:line="276"/>
        <w:jc w:val="both"/>
        <w:rPr>
          <w:rFonts w:ascii="Arial" w:hAnsi="Arial" w:cs="Arial"/>
          <w:sz w:val="22"/>
          <w:szCs w:val="22"/>
        </w:rPr>
      </w:pPr>
      <w:r>
        <w:rPr>
          <w:rFonts w:cs="Arial" w:ascii="Arial" w:hAnsi="Arial"/>
          <w:sz w:val="22"/>
          <w:szCs w:val="22"/>
        </w:rPr>
        <w:t>44. »spaljivanje otpada« je postupak oporabe, odnosno zbrinjavanja otpada u kojem se spaljuje otpad sa ili bez oporabe topline proizvedene izgaranjem. To uključuje oksidacijsko spaljivanje otpada, kao i druge termičke procese, poput pirolize, rasplinjavanja ili plazma procesa, sve dok se rezultirajući produkti tih obrada nakon toga spaljuju;</w:t>
      </w:r>
    </w:p>
    <w:p>
      <w:pPr>
        <w:pStyle w:val="Tijeloteksta1"/>
        <w:spacing w:lineRule="auto" w:line="276"/>
        <w:jc w:val="both"/>
        <w:rPr>
          <w:rFonts w:ascii="Arial" w:hAnsi="Arial" w:cs="Arial"/>
          <w:sz w:val="22"/>
          <w:szCs w:val="22"/>
        </w:rPr>
      </w:pPr>
      <w:r>
        <w:rPr>
          <w:rFonts w:cs="Arial" w:ascii="Arial" w:hAnsi="Arial"/>
          <w:sz w:val="22"/>
          <w:szCs w:val="22"/>
        </w:rPr>
        <w:t>45. »sprječavanje nastanka otpada« su mjere poduzete prije nego li je tvar, materijal ili proizvod postao otpad, a kojima se smanjuju:</w:t>
      </w:r>
    </w:p>
    <w:p>
      <w:pPr>
        <w:pStyle w:val="Tijeloteksta1"/>
        <w:spacing w:lineRule="auto" w:line="276"/>
        <w:jc w:val="both"/>
        <w:rPr>
          <w:rFonts w:ascii="Arial" w:hAnsi="Arial" w:cs="Arial"/>
          <w:sz w:val="22"/>
          <w:szCs w:val="22"/>
        </w:rPr>
      </w:pPr>
      <w:r>
        <w:rPr>
          <w:rFonts w:cs="Arial" w:ascii="Arial" w:hAnsi="Arial"/>
          <w:sz w:val="22"/>
          <w:szCs w:val="22"/>
        </w:rPr>
        <w:t>a) količine otpada uključujući ponovnu uporabu proizvoda ili produženje životnog vijeka proizvoda,</w:t>
      </w:r>
    </w:p>
    <w:p>
      <w:pPr>
        <w:pStyle w:val="Tijeloteksta1"/>
        <w:spacing w:lineRule="auto" w:line="276"/>
        <w:jc w:val="both"/>
        <w:rPr>
          <w:rFonts w:ascii="Arial" w:hAnsi="Arial" w:cs="Arial"/>
          <w:sz w:val="22"/>
          <w:szCs w:val="22"/>
        </w:rPr>
      </w:pPr>
      <w:r>
        <w:rPr>
          <w:rFonts w:cs="Arial" w:ascii="Arial" w:hAnsi="Arial"/>
          <w:sz w:val="22"/>
          <w:szCs w:val="22"/>
        </w:rPr>
        <w:t>b) štetan učinak otpada na okoliš i zdravlje ljudi ili</w:t>
      </w:r>
    </w:p>
    <w:p>
      <w:pPr>
        <w:pStyle w:val="Tijeloteksta1"/>
        <w:spacing w:lineRule="auto" w:line="276"/>
        <w:jc w:val="both"/>
        <w:rPr>
          <w:rFonts w:ascii="Arial" w:hAnsi="Arial" w:cs="Arial"/>
          <w:sz w:val="22"/>
          <w:szCs w:val="22"/>
        </w:rPr>
      </w:pPr>
      <w:r>
        <w:rPr>
          <w:rFonts w:cs="Arial" w:ascii="Arial" w:hAnsi="Arial"/>
          <w:sz w:val="22"/>
          <w:szCs w:val="22"/>
        </w:rPr>
        <w:t>c) sadržaj štetnih tvari u materijalima i proizvodima.</w:t>
      </w:r>
    </w:p>
    <w:p>
      <w:pPr>
        <w:pStyle w:val="Tijeloteksta1"/>
        <w:spacing w:lineRule="auto" w:line="276"/>
        <w:jc w:val="both"/>
        <w:rPr>
          <w:rFonts w:ascii="Arial" w:hAnsi="Arial" w:cs="Arial"/>
          <w:sz w:val="22"/>
          <w:szCs w:val="22"/>
        </w:rPr>
      </w:pPr>
      <w:r>
        <w:rPr>
          <w:rFonts w:cs="Arial" w:ascii="Arial" w:hAnsi="Arial"/>
          <w:sz w:val="22"/>
          <w:szCs w:val="22"/>
        </w:rPr>
        <w:t>46. »stavljanje na tržište« je svaki postupak proizvođača proizvoda kojim određeni proizvod čini dostupan kupcu, neovisno o načinu prodaje na teritoriju Republike Hrvatske,</w:t>
      </w:r>
    </w:p>
    <w:p>
      <w:pPr>
        <w:pStyle w:val="Tijeloteksta1"/>
        <w:spacing w:lineRule="auto" w:line="276"/>
        <w:jc w:val="both"/>
        <w:rPr>
          <w:rFonts w:ascii="Arial" w:hAnsi="Arial" w:cs="Arial"/>
          <w:sz w:val="22"/>
          <w:szCs w:val="22"/>
        </w:rPr>
      </w:pPr>
      <w:r>
        <w:rPr>
          <w:rFonts w:cs="Arial" w:ascii="Arial" w:hAnsi="Arial"/>
          <w:sz w:val="22"/>
          <w:szCs w:val="22"/>
        </w:rPr>
        <w:t>47. »suspaljivanje otpada« je postupak oporabe, odnosno zbrinjavanja otpada čija je prvenstvena svrha proizvodnja energije ili materijalnih produkata (proizvoda) i u kojem se otpad koristi kao redovno ili dopunsko gorivo ili u kojem se otpad termički obrađuje radi zbrinjavanja. To uključuje oksidacijsko spaljivanje otpada, kao i druge termičke procese, poput pirolize, rasplinjavanja ili plazma procesa, sve dok se rezultirajući produkti tih obrada nakon toga spaljuju;</w:t>
      </w:r>
    </w:p>
    <w:p>
      <w:pPr>
        <w:pStyle w:val="Tijeloteksta1"/>
        <w:spacing w:lineRule="auto" w:line="276"/>
        <w:jc w:val="both"/>
        <w:rPr>
          <w:rFonts w:ascii="Arial" w:hAnsi="Arial" w:cs="Arial"/>
          <w:sz w:val="22"/>
          <w:szCs w:val="22"/>
        </w:rPr>
      </w:pPr>
      <w:r>
        <w:rPr>
          <w:rFonts w:cs="Arial" w:ascii="Arial" w:hAnsi="Arial"/>
          <w:sz w:val="22"/>
          <w:szCs w:val="22"/>
        </w:rPr>
        <w:t>48. »tehnološki procesi gospodarenja otpadom« (u daljnjem tekstu: tehnološki procesi) su određene funkcionalno-tehnološke cjeline gospodarenja otpadom kojima se opisuje materijalni tok otpada, a uključuju prikupljanje, prihvat, skladištenje, prethodno razvrstavanje i razvrstavanje, miješanje otpada, pakiranje, popravak, čišćenje, provjera budućeg proizvoda i u slučaju oporabe ili zbrinjavanja otpada tehnološke procese koje je odredio podnositelj zahtjeva za dozvolu za gospodarenje otpadom sukladno smjernicama;</w:t>
      </w:r>
    </w:p>
    <w:p>
      <w:pPr>
        <w:pStyle w:val="Tijeloteksta1"/>
        <w:spacing w:lineRule="auto" w:line="276"/>
        <w:jc w:val="both"/>
        <w:rPr>
          <w:rFonts w:ascii="Arial" w:hAnsi="Arial" w:cs="Arial"/>
          <w:sz w:val="22"/>
          <w:szCs w:val="22"/>
        </w:rPr>
      </w:pPr>
      <w:r>
        <w:rPr>
          <w:rFonts w:cs="Arial" w:ascii="Arial" w:hAnsi="Arial"/>
          <w:sz w:val="22"/>
          <w:szCs w:val="22"/>
        </w:rPr>
        <w:t>49. »termička obrada otpada« su postupci spaljivanja, suspaljivanja i drugi postupci obrade otpada kojima se promjenom temperature otpada postiže promjena strukture i svojstva otpada;</w:t>
      </w:r>
    </w:p>
    <w:p>
      <w:pPr>
        <w:pStyle w:val="Tijeloteksta1"/>
        <w:spacing w:lineRule="auto" w:line="276"/>
        <w:jc w:val="both"/>
        <w:rPr>
          <w:rFonts w:ascii="Arial" w:hAnsi="Arial" w:cs="Arial"/>
          <w:sz w:val="22"/>
          <w:szCs w:val="22"/>
        </w:rPr>
      </w:pPr>
      <w:r>
        <w:rPr>
          <w:rFonts w:cs="Arial" w:ascii="Arial" w:hAnsi="Arial"/>
          <w:sz w:val="22"/>
          <w:szCs w:val="22"/>
        </w:rPr>
        <w:t>50. »trgovac otpadom« je pravna ili fizička osoba koja u svoje ime i za svoj račun kupuje i prodaje otpad, uključujući trgovca otpadom koji ne preuzima otpad u neposredni posjed;</w:t>
      </w:r>
    </w:p>
    <w:p>
      <w:pPr>
        <w:pStyle w:val="Tijeloteksta1"/>
        <w:spacing w:lineRule="auto" w:line="276"/>
        <w:jc w:val="both"/>
        <w:rPr>
          <w:rFonts w:ascii="Arial" w:hAnsi="Arial" w:cs="Arial"/>
          <w:sz w:val="22"/>
          <w:szCs w:val="22"/>
        </w:rPr>
      </w:pPr>
      <w:r>
        <w:rPr>
          <w:rFonts w:cs="Arial" w:ascii="Arial" w:hAnsi="Arial"/>
          <w:sz w:val="22"/>
          <w:szCs w:val="22"/>
        </w:rPr>
        <w:t>51. »vlasnik otpada« je osoba koja je nositelj materijalnih i drugih prava i obveza u vezi otpada;</w:t>
      </w:r>
    </w:p>
    <w:p>
      <w:pPr>
        <w:pStyle w:val="Tijeloteksta1"/>
        <w:spacing w:lineRule="auto" w:line="276"/>
        <w:jc w:val="both"/>
        <w:rPr>
          <w:rFonts w:ascii="Arial" w:hAnsi="Arial" w:cs="Arial"/>
          <w:sz w:val="22"/>
          <w:szCs w:val="22"/>
        </w:rPr>
      </w:pPr>
      <w:r>
        <w:rPr>
          <w:rFonts w:cs="Arial" w:ascii="Arial" w:hAnsi="Arial"/>
          <w:sz w:val="22"/>
          <w:szCs w:val="22"/>
        </w:rPr>
        <w:t>52. »zbrinjavanje otpada« je svaki postupak koji nije oporaba otpada, uključujući slučaj kad postupak kao sekundarnu posljedicu ima obnovu tvari ili energije. U Dodatku I. Zakona o održivom gospodarenju otpadom sadržan je popis postupaka zbrinjavanja koji ne isključuje druge moguće postupke zbrinjavanja otpada.</w:t>
      </w:r>
    </w:p>
    <w:p>
      <w:pPr>
        <w:pStyle w:val="Normal"/>
        <w:rPr/>
      </w:pPr>
      <w:r>
        <w:rPr/>
      </w:r>
    </w:p>
    <w:p>
      <w:pPr>
        <w:pStyle w:val="Normal"/>
        <w:rPr/>
      </w:pPr>
      <w:r>
        <w:rPr/>
      </w:r>
    </w:p>
    <w:p>
      <w:pPr>
        <w:pStyle w:val="Normal"/>
        <w:rPr/>
      </w:pPr>
      <w:r>
        <w:rPr/>
      </w:r>
    </w:p>
    <w:tbl>
      <w:tblPr>
        <w:tblW w:w="9464" w:type="dxa"/>
        <w:jc w:val="left"/>
        <w:tblInd w:w="-134" w:type="dxa"/>
        <w:tblBorders>
          <w:bottom w:val="single" w:sz="4" w:space="0" w:color="00000A"/>
          <w:insideH w:val="single" w:sz="4" w:space="0" w:color="00000A"/>
        </w:tblBorders>
        <w:tblCellMar>
          <w:top w:w="0" w:type="dxa"/>
          <w:left w:w="88" w:type="dxa"/>
          <w:bottom w:w="0" w:type="dxa"/>
          <w:right w:w="108" w:type="dxa"/>
        </w:tblCellMar>
        <w:tblLook w:firstRow="0" w:noVBand="0" w:lastRow="0" w:firstColumn="0" w:lastColumn="0" w:noHBand="0" w:val="0000"/>
      </w:tblPr>
      <w:tblGrid>
        <w:gridCol w:w="3026"/>
        <w:gridCol w:w="6437"/>
      </w:tblGrid>
      <w:tr>
        <w:trPr>
          <w:trHeight w:val="99" w:hRule="atLeast"/>
        </w:trPr>
        <w:tc>
          <w:tcPr>
            <w:tcW w:w="3026" w:type="dxa"/>
            <w:tcBorders>
              <w:bottom w:val="single" w:sz="4" w:space="0" w:color="00000A"/>
              <w:insideH w:val="single" w:sz="4" w:space="0" w:color="00000A"/>
            </w:tcBorders>
            <w:shd w:color="auto" w:fill="auto" w:val="clear"/>
          </w:tcPr>
          <w:p>
            <w:pPr>
              <w:pStyle w:val="Default"/>
              <w:rPr>
                <w:rFonts w:ascii="Arial" w:hAnsi="Arial" w:cs="Arial"/>
                <w:b/>
                <w:b/>
                <w:color w:val="00000A"/>
              </w:rPr>
            </w:pPr>
            <w:r>
              <w:rPr>
                <w:rFonts w:cs="Arial" w:ascii="Arial" w:hAnsi="Arial"/>
                <w:b/>
                <w:color w:val="00000A"/>
              </w:rPr>
              <w:t>POPIS KRATICA</w:t>
            </w:r>
          </w:p>
          <w:p>
            <w:pPr>
              <w:pStyle w:val="Default"/>
              <w:rPr>
                <w:rFonts w:ascii="Arial" w:hAnsi="Arial" w:cs="Arial"/>
                <w:b/>
                <w:b/>
                <w:color w:val="00000A"/>
              </w:rPr>
            </w:pPr>
            <w:r>
              <w:rPr>
                <w:rFonts w:cs="Arial" w:ascii="Arial" w:hAnsi="Arial"/>
                <w:b/>
                <w:color w:val="00000A"/>
              </w:rPr>
            </w:r>
          </w:p>
          <w:p>
            <w:pPr>
              <w:pStyle w:val="Default"/>
              <w:rPr>
                <w:rFonts w:ascii="Arial" w:hAnsi="Arial" w:cs="Arial"/>
                <w:b/>
                <w:b/>
              </w:rPr>
            </w:pPr>
            <w:r>
              <w:rPr>
                <w:rFonts w:cs="Arial" w:ascii="Arial" w:hAnsi="Arial"/>
                <w:b/>
              </w:rPr>
            </w:r>
          </w:p>
        </w:tc>
        <w:tc>
          <w:tcPr>
            <w:tcW w:w="6437" w:type="dxa"/>
            <w:tcBorders>
              <w:bottom w:val="single" w:sz="4" w:space="0" w:color="00000A"/>
              <w:insideH w:val="single" w:sz="4" w:space="0" w:color="00000A"/>
            </w:tcBorders>
            <w:shd w:color="auto" w:fill="auto" w:val="clear"/>
          </w:tcPr>
          <w:p>
            <w:pPr>
              <w:pStyle w:val="Default"/>
              <w:rPr>
                <w:rFonts w:ascii="Arial" w:hAnsi="Arial" w:cs="Arial"/>
              </w:rPr>
            </w:pPr>
            <w:r>
              <w:rPr>
                <w:rFonts w:cs="Arial" w:ascii="Arial" w:hAnsi="Arial"/>
              </w:rPr>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color w:val="00000A"/>
              </w:rPr>
            </w:pPr>
            <w:r>
              <w:rPr>
                <w:rFonts w:cs="Arial" w:ascii="Arial" w:hAnsi="Arial"/>
                <w:i/>
                <w:iCs/>
              </w:rPr>
              <w:t>AZO</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Agencija za zaštitu okoliša</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i/>
                <w:iCs/>
              </w:rPr>
              <w:t xml:space="preserve">CGO </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 xml:space="preserve">Centar za gospodarenje otpadom </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i/>
                <w:iCs/>
              </w:rPr>
              <w:t xml:space="preserve">CGGO </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 xml:space="preserve">Centar za gospodarenje građevnim otpadom </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i/>
                <w:iCs/>
              </w:rPr>
              <w:t xml:space="preserve">CGOO </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 xml:space="preserve">Centar za gospodarenje opasnim otpadom </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i/>
                <w:i/>
                <w:iCs/>
              </w:rPr>
            </w:pPr>
            <w:r>
              <w:rPr>
                <w:rFonts w:cs="Arial" w:ascii="Arial" w:hAnsi="Arial"/>
                <w:i/>
                <w:iCs/>
              </w:rPr>
              <w:t>EE</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Električni i elektronički uređaji i oprema</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i/>
                <w:i/>
                <w:iCs/>
              </w:rPr>
            </w:pPr>
            <w:r>
              <w:rPr>
                <w:rFonts w:cs="Arial" w:ascii="Arial" w:hAnsi="Arial"/>
                <w:i/>
                <w:iCs/>
              </w:rPr>
              <w:t>EEZ</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Europska ekonomska zajednica</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i/>
                <w:iCs/>
              </w:rPr>
              <w:t xml:space="preserve">EFRR </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 xml:space="preserve">Europski fond za regionalni razvoj </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 xml:space="preserve">EIB </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 xml:space="preserve">Europska investicijska banka </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 xml:space="preserve">ESIF </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 xml:space="preserve">Europski strukturni i investicijski fondovi. </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i/>
                <w:iCs/>
              </w:rPr>
              <w:t xml:space="preserve">EU </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 xml:space="preserve">Europska unija </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i/>
                <w:i/>
                <w:iCs/>
              </w:rPr>
            </w:pPr>
            <w:r>
              <w:rPr>
                <w:rFonts w:cs="Arial" w:ascii="Arial" w:hAnsi="Arial"/>
                <w:i/>
                <w:iCs/>
              </w:rPr>
              <w:t>EZ</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Europska zajednica</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i/>
                <w:iCs/>
              </w:rPr>
              <w:t xml:space="preserve">FZOEU </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 xml:space="preserve">Fond za zaštitu okoliša i energetsku učinkovitost </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i/>
                <w:iCs/>
              </w:rPr>
              <w:t xml:space="preserve">GO </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 xml:space="preserve">Gospodarenje otpadom </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i/>
                <w:iCs/>
              </w:rPr>
              <w:t xml:space="preserve">HAOP </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 xml:space="preserve">Hrvatska agencija za okoliš i prirodu </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i/>
                <w:iCs/>
              </w:rPr>
              <w:t xml:space="preserve">JLS </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 xml:space="preserve">Jedinica lokalne samouprave </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i/>
                <w:iCs/>
              </w:rPr>
              <w:t xml:space="preserve">JP(R)S </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 xml:space="preserve">Jedinica područne (regionalne) samouprave </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i/>
                <w:iCs/>
              </w:rPr>
              <w:t xml:space="preserve">JPP </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 xml:space="preserve">Javno-privatno partnerstvo </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i/>
                <w:iCs/>
              </w:rPr>
              <w:t xml:space="preserve">KD </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 xml:space="preserve">Komunalna društva </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i/>
                <w:iCs/>
              </w:rPr>
              <w:t xml:space="preserve">KF </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 xml:space="preserve">Kohezijski fond EU </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i/>
                <w:iCs/>
              </w:rPr>
              <w:t xml:space="preserve">MBO </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 xml:space="preserve">Mehanička i biološka obrada </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i/>
                <w:iCs/>
              </w:rPr>
              <w:t xml:space="preserve">MGIPU </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 xml:space="preserve">Ministarstvo graditeljstva i prostornog uređenja </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i/>
                <w:iCs/>
              </w:rPr>
              <w:t xml:space="preserve">MINGO </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 xml:space="preserve">Ministarstvo gospodarstva </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i/>
                <w:iCs/>
              </w:rPr>
              <w:t xml:space="preserve">MRRFEU </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 xml:space="preserve">Ministarstvo regionalnog razvoja i fondova Europske unije </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i/>
                <w:iCs/>
              </w:rPr>
              <w:t xml:space="preserve">MZOIP </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 xml:space="preserve">Ministarstvo zaštite okoliša i prirode </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i/>
                <w:iCs/>
              </w:rPr>
              <w:t xml:space="preserve">NN </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 xml:space="preserve">Narodne novine </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i/>
                <w:iCs/>
              </w:rPr>
              <w:t xml:space="preserve">NRT </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 xml:space="preserve">Najbolje raspoložive tehnike </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i/>
                <w:iCs/>
              </w:rPr>
              <w:t xml:space="preserve">PCB/PCT </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 xml:space="preserve">Poliklorirani bifenili/Poliklorirani terfenili </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i/>
                <w:iCs/>
              </w:rPr>
              <w:t xml:space="preserve">PGO </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 xml:space="preserve">Plan gospodarenja otpadom </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i/>
                <w:iCs/>
              </w:rPr>
              <w:t xml:space="preserve">PU </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 xml:space="preserve">Privatna ulaganja </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i/>
                <w:iCs/>
              </w:rPr>
              <w:t xml:space="preserve">RD </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 xml:space="preserve">Reciklažno dvorište </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i/>
                <w:iCs/>
              </w:rPr>
              <w:t xml:space="preserve">RH </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 xml:space="preserve">Republika Hrvatska </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i/>
                <w:iCs/>
              </w:rPr>
              <w:t xml:space="preserve">UPOV </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 xml:space="preserve">Uređaj za pročišćavanje otpadnih voda </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i/>
                <w:i/>
                <w:iCs/>
              </w:rPr>
            </w:pPr>
            <w:r>
              <w:rPr>
                <w:rFonts w:cs="Arial" w:ascii="Arial" w:hAnsi="Arial"/>
                <w:i/>
                <w:iCs/>
              </w:rPr>
              <w:t>ZOGO</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Zakon o održivom gopodarenju otpadom</w:t>
            </w:r>
          </w:p>
        </w:tc>
      </w:tr>
      <w:tr>
        <w:trPr>
          <w:trHeight w:val="99" w:hRule="atLeast"/>
        </w:trPr>
        <w:tc>
          <w:tcPr>
            <w:tcW w:w="3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i/>
                <w:iCs/>
              </w:rPr>
              <w:t xml:space="preserve">ZSP </w:t>
            </w:r>
          </w:p>
        </w:tc>
        <w:tc>
          <w:tcPr>
            <w:tcW w:w="64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3" w:type="dxa"/>
            </w:tcMar>
          </w:tcPr>
          <w:p>
            <w:pPr>
              <w:pStyle w:val="Default"/>
              <w:rPr>
                <w:rFonts w:ascii="Arial" w:hAnsi="Arial" w:cs="Arial"/>
              </w:rPr>
            </w:pPr>
            <w:r>
              <w:rPr>
                <w:rFonts w:cs="Arial" w:ascii="Arial" w:hAnsi="Arial"/>
              </w:rPr>
              <w:t xml:space="preserve">Zajam za strukturne programe </w:t>
            </w:r>
          </w:p>
        </w:tc>
      </w:tr>
    </w:tbl>
    <w:p>
      <w:pPr>
        <w:pStyle w:val="Normal"/>
        <w:rPr/>
      </w:pPr>
      <w:r>
        <w:rPr/>
      </w:r>
    </w:p>
    <w:p>
      <w:pPr>
        <w:pStyle w:val="Normal"/>
        <w:rPr/>
      </w:pPr>
      <w:r>
        <w:rPr/>
      </w:r>
    </w:p>
    <w:p>
      <w:pPr>
        <w:pStyle w:val="Normal"/>
        <w:rPr/>
      </w:pPr>
      <w:r>
        <w:rPr/>
      </w:r>
    </w:p>
    <w:p>
      <w:pPr>
        <w:pStyle w:val="Normal"/>
        <w:rPr/>
      </w:pPr>
      <w:r>
        <w:rPr/>
      </w:r>
    </w:p>
    <w:p>
      <w:pPr>
        <w:pStyle w:val="Normal"/>
        <w:tabs>
          <w:tab w:val="left" w:pos="6015" w:leader="none"/>
        </w:tabs>
        <w:rPr/>
      </w:pPr>
      <w:r>
        <w:rPr/>
        <w:tab/>
      </w:r>
    </w:p>
    <w:p>
      <w:pPr>
        <w:pStyle w:val="Heading1"/>
        <w:rPr>
          <w:rFonts w:eastAsia="Calibri" w:cs="" w:cstheme="minorBidi" w:eastAsiaTheme="minorHAnsi"/>
          <w:b w:val="false"/>
          <w:b w:val="false"/>
          <w:bCs w:val="false"/>
          <w:sz w:val="22"/>
          <w:szCs w:val="22"/>
        </w:rPr>
      </w:pPr>
      <w:r>
        <w:rPr>
          <w:rFonts w:eastAsia="Calibri" w:cs="" w:cstheme="minorBidi" w:eastAsiaTheme="minorHAnsi"/>
          <w:b w:val="false"/>
          <w:bCs w:val="false"/>
          <w:sz w:val="22"/>
          <w:szCs w:val="22"/>
        </w:rPr>
      </w:r>
    </w:p>
    <w:p>
      <w:pPr>
        <w:sectPr>
          <w:headerReference w:type="default" r:id="rId4"/>
          <w:footerReference w:type="default" r:id="rId5"/>
          <w:type w:val="nextPage"/>
          <w:pgSz w:w="11906" w:h="16838"/>
          <w:pgMar w:left="1417" w:right="1417" w:header="708" w:top="1417" w:footer="708" w:bottom="1417" w:gutter="0"/>
          <w:pgNumType w:fmt="decimal"/>
          <w:formProt w:val="false"/>
          <w:titlePg/>
          <w:textDirection w:val="lrTb"/>
          <w:docGrid w:type="default" w:linePitch="360" w:charSpace="4294965247"/>
        </w:sectPr>
      </w:pPr>
    </w:p>
    <w:p>
      <w:pPr>
        <w:pStyle w:val="Heading1"/>
        <w:rPr/>
      </w:pPr>
      <w:bookmarkStart w:id="2" w:name="_Toc475347804"/>
      <w:bookmarkEnd w:id="2"/>
      <w:r>
        <w:rPr/>
        <w:t>1 UVOD</w:t>
      </w:r>
    </w:p>
    <w:p>
      <w:pPr>
        <w:pStyle w:val="Normal"/>
        <w:rPr/>
      </w:pPr>
      <w:r>
        <w:rPr/>
      </w:r>
    </w:p>
    <w:p>
      <w:pPr>
        <w:pStyle w:val="Default"/>
        <w:spacing w:lineRule="auto" w:line="276"/>
        <w:jc w:val="both"/>
        <w:rPr/>
      </w:pPr>
      <w:r>
        <w:rPr>
          <w:rFonts w:cs="Arial" w:ascii="Arial" w:hAnsi="Arial"/>
          <w:sz w:val="22"/>
          <w:szCs w:val="22"/>
        </w:rPr>
        <w:t xml:space="preserve">Plan gospodarenja otpadom Općine </w:t>
      </w:r>
      <w:r>
        <w:rPr>
          <w:rFonts w:cs="Arial" w:ascii="Arial" w:hAnsi="Arial"/>
          <w:sz w:val="22"/>
          <w:szCs w:val="22"/>
        </w:rPr>
        <w:t>Dragalić</w:t>
      </w:r>
      <w:r>
        <w:rPr>
          <w:rFonts w:cs="Arial" w:ascii="Arial" w:hAnsi="Arial"/>
          <w:sz w:val="22"/>
          <w:szCs w:val="22"/>
        </w:rPr>
        <w:t xml:space="preserve"> za razdoblje od 2017. do 2022. godine (u daljnjem tekstu: Plan) temelji se na ciljevima Plana gospodarenja otpadom Republike Hrvatske za razdoblje 2017.-2022. godine (NN 3/17), te članka 17. Zakona o održivom gospodarenju otpadom (NN 94/13) kojim su preneseni zahtjevi članka 28. Okvirne direktive o otpadu.  </w:t>
      </w:r>
    </w:p>
    <w:p>
      <w:pPr>
        <w:pStyle w:val="Default"/>
        <w:spacing w:lineRule="auto" w:line="276"/>
        <w:jc w:val="both"/>
        <w:rPr>
          <w:rFonts w:ascii="Arial" w:hAnsi="Arial" w:cs="Arial"/>
          <w:sz w:val="22"/>
          <w:szCs w:val="22"/>
        </w:rPr>
      </w:pPr>
      <w:r>
        <w:rPr>
          <w:rFonts w:cs="Arial" w:ascii="Arial" w:hAnsi="Arial"/>
          <w:sz w:val="22"/>
          <w:szCs w:val="22"/>
        </w:rPr>
        <w:t xml:space="preserve">Nastavno na viziju i ciljeve gospodarenja otpadom u Republici Hrvatskoj do 2025. godine, definirane Strategijom gospodarenja otpadom (NN 130/05) i važeće nacionalne propise,  Plan ima za zadatak </w:t>
      </w:r>
      <w:r>
        <w:rPr>
          <w:rFonts w:cs="Arial" w:ascii="Arial" w:hAnsi="Arial"/>
          <w:i/>
          <w:iCs/>
          <w:sz w:val="22"/>
          <w:szCs w:val="22"/>
        </w:rPr>
        <w:t xml:space="preserve">uspostavu </w:t>
      </w:r>
      <w:r>
        <w:rPr>
          <w:rFonts w:cs="Arial" w:ascii="Arial" w:hAnsi="Arial"/>
          <w:sz w:val="22"/>
          <w:szCs w:val="22"/>
        </w:rPr>
        <w:t xml:space="preserve"> </w:t>
      </w:r>
      <w:r>
        <w:rPr>
          <w:rFonts w:cs="Arial" w:ascii="Arial" w:hAnsi="Arial"/>
          <w:i/>
          <w:iCs/>
          <w:sz w:val="22"/>
          <w:szCs w:val="22"/>
        </w:rPr>
        <w:t>cjelovitog i učinkovitog sustava gospodarenja otpadom</w:t>
      </w:r>
      <w:r>
        <w:rPr>
          <w:rFonts w:cs="Arial" w:ascii="Arial" w:hAnsi="Arial"/>
          <w:sz w:val="22"/>
          <w:szCs w:val="22"/>
        </w:rPr>
        <w:t xml:space="preserve">, koji će se ostvariti provedbom aktivnosti sanacije i zatvaranja postojećih neusklađenih odlagališta otpada, divljih odlagališta, crnih točaka te  unaprjeđenjem sustava odvojenog sakupljanja i obrade otpada. </w:t>
      </w:r>
    </w:p>
    <w:p>
      <w:pPr>
        <w:pStyle w:val="Default"/>
        <w:spacing w:lineRule="auto" w:line="276"/>
        <w:jc w:val="both"/>
        <w:rPr>
          <w:rFonts w:ascii="Arial" w:hAnsi="Arial" w:cs="Arial"/>
          <w:sz w:val="22"/>
          <w:szCs w:val="22"/>
        </w:rPr>
      </w:pPr>
      <w:r>
        <w:rPr>
          <w:rFonts w:cs="Arial" w:ascii="Arial" w:hAnsi="Arial"/>
          <w:sz w:val="22"/>
          <w:szCs w:val="22"/>
        </w:rPr>
        <w:t xml:space="preserve">Okvir za uspostavu cjelovitog sustava gospodarenja otpadom, s jasno propisanim obavezama,  odgovornostima i mehanizmima kontrole, postavljen je donošenjem Zakona o održivom gospodarenju  otpadom koji zajedno s pripadajućim strateškim ciljevima iz područja zaštite okoliša postavlja slijedeće </w:t>
      </w:r>
      <w:r>
        <w:rPr>
          <w:rFonts w:cs="Arial" w:ascii="Arial" w:hAnsi="Arial"/>
          <w:i/>
          <w:iCs/>
          <w:sz w:val="22"/>
          <w:szCs w:val="22"/>
        </w:rPr>
        <w:t xml:space="preserve">osnovne ciljeve gospodarenja otpadom </w:t>
      </w:r>
      <w:r>
        <w:rPr>
          <w:rFonts w:cs="Arial" w:ascii="Arial" w:hAnsi="Arial"/>
          <w:sz w:val="22"/>
          <w:szCs w:val="22"/>
        </w:rPr>
        <w:t xml:space="preserve">u RH: </w:t>
      </w:r>
    </w:p>
    <w:p>
      <w:pPr>
        <w:pStyle w:val="Default"/>
        <w:spacing w:lineRule="auto" w:line="360"/>
        <w:jc w:val="both"/>
        <w:rPr>
          <w:rFonts w:ascii="Arial" w:hAnsi="Arial" w:cs="Arial"/>
          <w:sz w:val="22"/>
          <w:szCs w:val="22"/>
        </w:rPr>
      </w:pPr>
      <w:r>
        <w:rPr>
          <w:rFonts w:cs="Arial" w:ascii="Arial" w:hAnsi="Arial"/>
          <w:sz w:val="22"/>
          <w:szCs w:val="22"/>
        </w:rPr>
      </w:r>
    </w:p>
    <w:p>
      <w:pPr>
        <w:pStyle w:val="NoSpacing"/>
        <w:numPr>
          <w:ilvl w:val="0"/>
          <w:numId w:val="1"/>
        </w:numPr>
        <w:spacing w:lineRule="auto" w:line="276"/>
        <w:jc w:val="both"/>
        <w:rPr>
          <w:rFonts w:ascii="Arial" w:hAnsi="Arial" w:cs="Arial"/>
          <w:b/>
          <w:b/>
          <w:sz w:val="22"/>
          <w:szCs w:val="22"/>
        </w:rPr>
      </w:pPr>
      <w:r>
        <w:rPr>
          <w:rFonts w:cs="Arial" w:ascii="Arial" w:hAnsi="Arial"/>
          <w:b/>
          <w:sz w:val="22"/>
          <w:szCs w:val="22"/>
        </w:rPr>
        <w:t xml:space="preserve">Sprječavanje nastanka otpada </w:t>
      </w:r>
    </w:p>
    <w:p>
      <w:pPr>
        <w:pStyle w:val="NoSpacing"/>
        <w:spacing w:lineRule="auto" w:line="276"/>
        <w:ind w:left="720" w:hanging="0"/>
        <w:jc w:val="both"/>
        <w:rPr>
          <w:rFonts w:ascii="Arial" w:hAnsi="Arial" w:cs="Arial"/>
          <w:b/>
          <w:b/>
          <w:sz w:val="22"/>
          <w:szCs w:val="22"/>
        </w:rPr>
      </w:pPr>
      <w:r>
        <w:rPr>
          <w:rFonts w:cs="Arial" w:ascii="Arial" w:hAnsi="Arial"/>
          <w:b/>
          <w:sz w:val="22"/>
          <w:szCs w:val="22"/>
        </w:rPr>
      </w:r>
    </w:p>
    <w:p>
      <w:pPr>
        <w:pStyle w:val="NoSpacing"/>
        <w:spacing w:lineRule="auto" w:line="276"/>
        <w:ind w:left="360" w:hanging="0"/>
        <w:jc w:val="both"/>
        <w:rPr>
          <w:rFonts w:ascii="Arial" w:hAnsi="Arial" w:cs="Arial"/>
          <w:sz w:val="22"/>
          <w:szCs w:val="22"/>
        </w:rPr>
      </w:pPr>
      <w:r>
        <w:rPr>
          <w:rFonts w:cs="Arial" w:ascii="Arial" w:hAnsi="Arial"/>
          <w:sz w:val="22"/>
          <w:szCs w:val="22"/>
        </w:rPr>
        <w:t xml:space="preserve">Jedan od ciljeva Plana je svesti nastajanje otpada na najmanju  moguću mjeru, i to ne samo otpada koji nastaje u proizvodnim procesima, već sustavno, tijekom  čitavog životnog ciklusa proizvoda i njegovih komponenti. </w:t>
      </w:r>
    </w:p>
    <w:p>
      <w:pPr>
        <w:pStyle w:val="NoSpacing"/>
        <w:spacing w:lineRule="auto" w:line="276"/>
        <w:jc w:val="both"/>
        <w:rPr>
          <w:rFonts w:ascii="Arial" w:hAnsi="Arial" w:cs="Arial"/>
          <w:sz w:val="22"/>
          <w:szCs w:val="22"/>
        </w:rPr>
      </w:pPr>
      <w:r>
        <w:rPr>
          <w:rFonts w:cs="Arial" w:ascii="Arial" w:hAnsi="Arial"/>
          <w:sz w:val="22"/>
          <w:szCs w:val="22"/>
        </w:rPr>
      </w:r>
    </w:p>
    <w:p>
      <w:pPr>
        <w:pStyle w:val="NoSpacing"/>
        <w:numPr>
          <w:ilvl w:val="0"/>
          <w:numId w:val="1"/>
        </w:numPr>
        <w:spacing w:lineRule="auto" w:line="276"/>
        <w:jc w:val="both"/>
        <w:rPr>
          <w:rFonts w:ascii="Arial" w:hAnsi="Arial" w:cs="Arial"/>
          <w:b/>
          <w:b/>
          <w:sz w:val="22"/>
          <w:szCs w:val="22"/>
        </w:rPr>
      </w:pPr>
      <w:r>
        <w:rPr>
          <w:rFonts w:cs="Arial" w:ascii="Arial" w:hAnsi="Arial"/>
          <w:b/>
          <w:sz w:val="22"/>
          <w:szCs w:val="22"/>
        </w:rPr>
        <w:t xml:space="preserve">Povećanje iskorištenja korisnih sirovina  </w:t>
      </w:r>
    </w:p>
    <w:p>
      <w:pPr>
        <w:pStyle w:val="NoSpacing"/>
        <w:spacing w:lineRule="auto" w:line="276"/>
        <w:ind w:left="720" w:hanging="0"/>
        <w:jc w:val="both"/>
        <w:rPr>
          <w:rFonts w:ascii="Arial" w:hAnsi="Arial" w:cs="Arial"/>
          <w:b/>
          <w:b/>
          <w:sz w:val="22"/>
          <w:szCs w:val="22"/>
        </w:rPr>
      </w:pPr>
      <w:r>
        <w:rPr>
          <w:rFonts w:cs="Arial" w:ascii="Arial" w:hAnsi="Arial"/>
          <w:b/>
          <w:sz w:val="22"/>
          <w:szCs w:val="22"/>
        </w:rPr>
      </w:r>
    </w:p>
    <w:p>
      <w:pPr>
        <w:pStyle w:val="NoSpacing"/>
        <w:spacing w:lineRule="auto" w:line="276"/>
        <w:ind w:left="360" w:hanging="0"/>
        <w:jc w:val="both"/>
        <w:rPr>
          <w:rFonts w:ascii="Arial" w:hAnsi="Arial" w:cs="Arial"/>
          <w:sz w:val="22"/>
          <w:szCs w:val="22"/>
        </w:rPr>
      </w:pPr>
      <w:r>
        <w:rPr>
          <w:rFonts w:cs="Arial" w:ascii="Arial" w:hAnsi="Arial"/>
          <w:sz w:val="22"/>
          <w:szCs w:val="22"/>
        </w:rPr>
        <w:t xml:space="preserve">Osigurati pripremu za ponovnu  uporabu i recikliranje sljedećih otpadnih materijala: papir, metal, plastika i staklo iz kućanstva, a po  mogućnosti i iz drugih izvora ako su ti tokovi  otpada slični otpadu iz kućanstva.  </w:t>
      </w:r>
    </w:p>
    <w:p>
      <w:pPr>
        <w:pStyle w:val="NoSpacing"/>
        <w:spacing w:lineRule="auto" w:line="276"/>
        <w:jc w:val="both"/>
        <w:rPr/>
      </w:pPr>
      <w:r>
        <w:rPr/>
      </w:r>
    </w:p>
    <w:p>
      <w:pPr>
        <w:pStyle w:val="NoSpacing"/>
        <w:spacing w:lineRule="auto" w:line="276"/>
        <w:ind w:left="360" w:hanging="0"/>
        <w:jc w:val="both"/>
        <w:rPr>
          <w:rFonts w:ascii="Arial" w:hAnsi="Arial" w:cs="Arial"/>
          <w:sz w:val="22"/>
          <w:szCs w:val="22"/>
        </w:rPr>
      </w:pPr>
      <w:r>
        <w:rPr>
          <w:rFonts w:cs="Arial" w:ascii="Arial" w:hAnsi="Arial"/>
          <w:sz w:val="22"/>
          <w:szCs w:val="22"/>
        </w:rPr>
        <w:t xml:space="preserve">Također, mora se osigurati priprema za ponovnu uporabu, recikliranje i druge načine materijalne oporabe, uključujući postupke zatrpavanja i nasipavanja, u kojima se otpad koristi kao zamjena za druge materijale, neopasnog građevnog otpada, isključujući zemlju i kamenje koja nije onečišćena opasnim tvarima. </w:t>
      </w:r>
    </w:p>
    <w:p>
      <w:pPr>
        <w:pStyle w:val="NoSpacing"/>
        <w:spacing w:lineRule="auto" w:line="360"/>
        <w:jc w:val="both"/>
        <w:rPr>
          <w:rFonts w:ascii="Arial" w:hAnsi="Arial" w:cs="Arial"/>
          <w:sz w:val="22"/>
          <w:szCs w:val="22"/>
        </w:rPr>
      </w:pPr>
      <w:r>
        <w:rPr>
          <w:rFonts w:cs="Arial" w:ascii="Arial" w:hAnsi="Arial"/>
          <w:sz w:val="22"/>
          <w:szCs w:val="22"/>
        </w:rPr>
      </w:r>
    </w:p>
    <w:p>
      <w:pPr>
        <w:pStyle w:val="NoSpacing"/>
        <w:spacing w:lineRule="auto" w:line="276"/>
        <w:ind w:firstLine="360"/>
        <w:jc w:val="both"/>
        <w:rPr>
          <w:rFonts w:ascii="Arial" w:hAnsi="Arial" w:cs="Arial"/>
          <w:b/>
          <w:b/>
          <w:sz w:val="22"/>
          <w:szCs w:val="22"/>
        </w:rPr>
      </w:pPr>
      <w:r>
        <w:rPr>
          <w:rFonts w:cs="Arial" w:ascii="Arial" w:hAnsi="Arial"/>
          <w:b/>
          <w:sz w:val="22"/>
          <w:szCs w:val="22"/>
        </w:rPr>
        <w:t xml:space="preserve">3. Unaprjeđenje sustava gospodarenja posebnim kategorijama otpada </w:t>
      </w:r>
    </w:p>
    <w:p>
      <w:pPr>
        <w:pStyle w:val="NoSpacing"/>
        <w:spacing w:lineRule="auto" w:line="276"/>
        <w:jc w:val="both"/>
        <w:rPr>
          <w:rFonts w:ascii="Arial" w:hAnsi="Arial" w:cs="Arial"/>
          <w:b/>
          <w:b/>
          <w:sz w:val="22"/>
          <w:szCs w:val="22"/>
        </w:rPr>
      </w:pPr>
      <w:r>
        <w:rPr>
          <w:rFonts w:cs="Arial" w:ascii="Arial" w:hAnsi="Arial"/>
          <w:b/>
          <w:sz w:val="22"/>
          <w:szCs w:val="22"/>
        </w:rPr>
      </w:r>
    </w:p>
    <w:p>
      <w:pPr>
        <w:pStyle w:val="NoSpacing"/>
        <w:spacing w:lineRule="auto" w:line="276"/>
        <w:ind w:firstLine="360"/>
        <w:jc w:val="both"/>
        <w:rPr>
          <w:rFonts w:ascii="Arial" w:hAnsi="Arial" w:cs="Arial"/>
          <w:b/>
          <w:b/>
          <w:sz w:val="22"/>
          <w:szCs w:val="22"/>
        </w:rPr>
      </w:pPr>
      <w:r>
        <w:rPr>
          <w:rFonts w:cs="Arial" w:ascii="Arial" w:hAnsi="Arial"/>
          <w:b/>
          <w:sz w:val="22"/>
          <w:szCs w:val="22"/>
        </w:rPr>
        <w:t>4. Smanjenje ukupne količine otpada koji se odlaže na neusklađena odlagališta</w:t>
      </w:r>
    </w:p>
    <w:p>
      <w:pPr>
        <w:pStyle w:val="NoSpacing"/>
        <w:spacing w:lineRule="auto" w:line="276"/>
        <w:ind w:firstLine="360"/>
        <w:jc w:val="both"/>
        <w:rPr>
          <w:rFonts w:ascii="Arial" w:hAnsi="Arial" w:cs="Arial"/>
          <w:b/>
          <w:b/>
          <w:sz w:val="22"/>
          <w:szCs w:val="22"/>
        </w:rPr>
      </w:pPr>
      <w:r>
        <w:rPr>
          <w:rFonts w:cs="Arial" w:ascii="Arial" w:hAnsi="Arial"/>
          <w:b/>
          <w:sz w:val="22"/>
          <w:szCs w:val="22"/>
        </w:rPr>
      </w:r>
    </w:p>
    <w:p>
      <w:pPr>
        <w:pStyle w:val="NoSpacing"/>
        <w:spacing w:lineRule="auto" w:line="276"/>
        <w:ind w:firstLine="360"/>
        <w:jc w:val="both"/>
        <w:rPr>
          <w:rFonts w:ascii="Arial" w:hAnsi="Arial" w:cs="Arial"/>
          <w:b/>
          <w:b/>
          <w:sz w:val="22"/>
          <w:szCs w:val="22"/>
        </w:rPr>
      </w:pPr>
      <w:r>
        <w:rPr>
          <w:rFonts w:cs="Arial" w:ascii="Arial" w:hAnsi="Arial"/>
          <w:b/>
          <w:sz w:val="22"/>
          <w:szCs w:val="22"/>
        </w:rPr>
        <w:t>5. Smanjenje količina biorazgradivog komunalnog otpada koji se odlaže na</w:t>
      </w:r>
    </w:p>
    <w:p>
      <w:pPr>
        <w:pStyle w:val="NoSpacing"/>
        <w:spacing w:lineRule="auto" w:line="276"/>
        <w:jc w:val="both"/>
        <w:rPr>
          <w:rFonts w:ascii="Arial" w:hAnsi="Arial" w:cs="Arial"/>
          <w:b/>
          <w:b/>
          <w:sz w:val="22"/>
          <w:szCs w:val="22"/>
        </w:rPr>
      </w:pPr>
      <w:r>
        <w:rPr>
          <w:rFonts w:cs="Arial" w:ascii="Arial" w:hAnsi="Arial"/>
          <w:b/>
          <w:sz w:val="22"/>
          <w:szCs w:val="22"/>
        </w:rPr>
        <w:t xml:space="preserve">          </w:t>
      </w:r>
      <w:r>
        <w:rPr>
          <w:rFonts w:cs="Arial" w:ascii="Arial" w:hAnsi="Arial"/>
          <w:b/>
          <w:sz w:val="22"/>
          <w:szCs w:val="22"/>
        </w:rPr>
        <w:t>odlagalištima otpada</w:t>
      </w:r>
    </w:p>
    <w:p>
      <w:pPr>
        <w:pStyle w:val="NoSpacing"/>
        <w:spacing w:lineRule="auto" w:line="276"/>
        <w:jc w:val="both"/>
        <w:rPr>
          <w:rFonts w:ascii="Arial" w:hAnsi="Arial" w:cs="Arial"/>
          <w:b/>
          <w:b/>
          <w:sz w:val="22"/>
          <w:szCs w:val="22"/>
        </w:rPr>
      </w:pPr>
      <w:r>
        <w:rPr>
          <w:rFonts w:cs="Arial" w:ascii="Arial" w:hAnsi="Arial"/>
          <w:b/>
          <w:sz w:val="22"/>
          <w:szCs w:val="22"/>
        </w:rPr>
      </w:r>
    </w:p>
    <w:p>
      <w:pPr>
        <w:pStyle w:val="NoSpacing"/>
        <w:spacing w:lineRule="auto" w:line="276"/>
        <w:jc w:val="both"/>
        <w:rPr/>
      </w:pPr>
      <w:r>
        <w:rPr>
          <w:rFonts w:cs="Arial" w:ascii="Arial" w:hAnsi="Arial"/>
          <w:b/>
          <w:sz w:val="22"/>
          <w:szCs w:val="22"/>
        </w:rPr>
        <w:t xml:space="preserve">      </w:t>
      </w:r>
      <w:r>
        <w:rPr>
          <w:rFonts w:cs="Arial" w:ascii="Arial" w:hAnsi="Arial"/>
          <w:b/>
          <w:sz w:val="22"/>
          <w:szCs w:val="22"/>
        </w:rPr>
        <w:t>6. Unaprjeđenje sustava gospodarenja opasnim otpadom</w:t>
      </w:r>
    </w:p>
    <w:p>
      <w:pPr>
        <w:pStyle w:val="NoSpacing"/>
        <w:spacing w:lineRule="auto" w:line="276"/>
        <w:jc w:val="both"/>
        <w:rPr>
          <w:rFonts w:ascii="Arial" w:hAnsi="Arial" w:cs="Arial"/>
          <w:b/>
          <w:b/>
          <w:sz w:val="22"/>
          <w:szCs w:val="22"/>
        </w:rPr>
      </w:pPr>
      <w:r>
        <w:rPr>
          <w:rFonts w:cs="Arial" w:ascii="Arial" w:hAnsi="Arial"/>
          <w:b/>
          <w:sz w:val="22"/>
          <w:szCs w:val="22"/>
        </w:rPr>
      </w:r>
    </w:p>
    <w:p>
      <w:pPr>
        <w:pStyle w:val="NoSpacing"/>
        <w:spacing w:lineRule="auto" w:line="276"/>
        <w:jc w:val="both"/>
        <w:rPr>
          <w:rFonts w:ascii="Arial" w:hAnsi="Arial" w:cs="Arial"/>
          <w:b/>
          <w:b/>
          <w:sz w:val="22"/>
          <w:szCs w:val="22"/>
        </w:rPr>
      </w:pPr>
      <w:r>
        <w:rPr>
          <w:rFonts w:cs="Arial" w:ascii="Arial" w:hAnsi="Arial"/>
          <w:b/>
          <w:sz w:val="22"/>
          <w:szCs w:val="22"/>
        </w:rPr>
      </w:r>
    </w:p>
    <w:p>
      <w:pPr>
        <w:pStyle w:val="Heading2"/>
        <w:rPr/>
      </w:pPr>
      <w:bookmarkStart w:id="3" w:name="_Toc475347805"/>
      <w:bookmarkEnd w:id="3"/>
      <w:r>
        <w:rPr/>
        <w:t>1.1 Ciljevi</w:t>
      </w:r>
    </w:p>
    <w:p>
      <w:pPr>
        <w:pStyle w:val="Normal"/>
        <w:rPr/>
      </w:pPr>
      <w:r>
        <w:rPr/>
      </w:r>
    </w:p>
    <w:p>
      <w:pPr>
        <w:pStyle w:val="NoSpacing"/>
        <w:spacing w:lineRule="auto" w:line="276"/>
        <w:jc w:val="both"/>
        <w:rPr>
          <w:rFonts w:ascii="Arial" w:hAnsi="Arial" w:cs="Arial"/>
          <w:sz w:val="22"/>
          <w:szCs w:val="22"/>
        </w:rPr>
      </w:pPr>
      <w:r>
        <w:rPr>
          <w:rFonts w:cs="Arial" w:ascii="Arial" w:hAnsi="Arial"/>
          <w:sz w:val="22"/>
          <w:szCs w:val="22"/>
        </w:rPr>
        <w:t>Temeljem ocjene postojećeg stanja u gospodarenju otpadom i obveza koje Republika Hrvatska mora postići sukladno EU i nacionalnom zakonodavstvu, ovim Planom definiraju se sljedeći ciljevi koji se moraju dostići do 2022. godine:</w:t>
      </w:r>
    </w:p>
    <w:p>
      <w:pPr>
        <w:pStyle w:val="NoSpacing"/>
        <w:spacing w:lineRule="auto" w:line="360"/>
        <w:jc w:val="both"/>
        <w:rPr/>
      </w:pPr>
      <w:r>
        <w:rPr/>
      </w:r>
    </w:p>
    <w:p>
      <w:pPr>
        <w:pStyle w:val="Tijeloteksta1"/>
        <w:spacing w:lineRule="auto" w:line="276"/>
        <w:ind w:left="708" w:hanging="0"/>
        <w:jc w:val="both"/>
        <w:rPr>
          <w:rFonts w:ascii="Arial" w:hAnsi="Arial"/>
          <w:sz w:val="22"/>
          <w:szCs w:val="22"/>
        </w:rPr>
      </w:pPr>
      <w:r>
        <w:rPr>
          <w:rFonts w:ascii="Arial" w:hAnsi="Arial"/>
          <w:b/>
          <w:sz w:val="22"/>
          <w:szCs w:val="22"/>
        </w:rPr>
        <w:t xml:space="preserve">(1) Najveća dopuštena masa biorazgradivog komunalnog otpada koja se godišnje smije odložiti na svim odlagalištima i neusklađenim odlagalištima u Republici Hrvatskoj u odnosu na masu biorazgradivog komunalnog otpada proizvedenog u 1997. godini </w:t>
      </w:r>
      <w:r>
        <w:rPr>
          <w:rFonts w:ascii="Arial" w:hAnsi="Arial"/>
          <w:sz w:val="22"/>
          <w:szCs w:val="22"/>
        </w:rPr>
        <w:t>iznosi:</w:t>
      </w:r>
    </w:p>
    <w:p>
      <w:pPr>
        <w:pStyle w:val="Tijeloteksta1"/>
        <w:spacing w:lineRule="auto" w:line="276"/>
        <w:ind w:left="708" w:hanging="0"/>
        <w:jc w:val="both"/>
        <w:rPr>
          <w:rFonts w:ascii="Arial" w:hAnsi="Arial"/>
          <w:sz w:val="22"/>
          <w:szCs w:val="22"/>
        </w:rPr>
      </w:pPr>
      <w:r>
        <w:rPr>
          <w:rFonts w:ascii="Arial" w:hAnsi="Arial"/>
          <w:sz w:val="22"/>
          <w:szCs w:val="22"/>
        </w:rPr>
      </w:r>
    </w:p>
    <w:p>
      <w:pPr>
        <w:pStyle w:val="Tijeloteksta1"/>
        <w:spacing w:lineRule="auto" w:line="276"/>
        <w:ind w:left="708" w:firstLine="708"/>
        <w:rPr>
          <w:rFonts w:ascii="Arial" w:hAnsi="Arial"/>
          <w:sz w:val="22"/>
          <w:szCs w:val="22"/>
        </w:rPr>
      </w:pPr>
      <w:r>
        <w:rPr>
          <w:rFonts w:ascii="Arial" w:hAnsi="Arial"/>
          <w:sz w:val="22"/>
          <w:szCs w:val="22"/>
        </w:rPr>
        <w:t>1. 75%, odnosno 567.131 tona do 31. prosinca 2013.</w:t>
      </w:r>
    </w:p>
    <w:p>
      <w:pPr>
        <w:pStyle w:val="Tijeloteksta1"/>
        <w:spacing w:lineRule="auto" w:line="276"/>
        <w:ind w:left="708" w:firstLine="708"/>
        <w:rPr>
          <w:rFonts w:ascii="Arial" w:hAnsi="Arial"/>
          <w:sz w:val="22"/>
          <w:szCs w:val="22"/>
        </w:rPr>
      </w:pPr>
      <w:r>
        <w:rPr>
          <w:rFonts w:ascii="Arial" w:hAnsi="Arial"/>
          <w:sz w:val="22"/>
          <w:szCs w:val="22"/>
        </w:rPr>
        <w:t>2. 50%, odnosno 378.088 tona do 31. prosinca 2016.</w:t>
      </w:r>
    </w:p>
    <w:p>
      <w:pPr>
        <w:pStyle w:val="Tijeloteksta1"/>
        <w:spacing w:lineRule="auto" w:line="276"/>
        <w:ind w:left="708" w:firstLine="708"/>
        <w:jc w:val="both"/>
        <w:rPr>
          <w:rFonts w:ascii="Arial" w:hAnsi="Arial" w:cs="Arial"/>
          <w:sz w:val="22"/>
          <w:szCs w:val="22"/>
        </w:rPr>
      </w:pPr>
      <w:r>
        <w:rPr>
          <w:rFonts w:cs="Arial" w:ascii="Arial" w:hAnsi="Arial"/>
          <w:sz w:val="22"/>
          <w:szCs w:val="22"/>
        </w:rPr>
        <w:t>3. 35%, odnosno 264.661 tona do 31. prosinca 2020.</w:t>
      </w:r>
    </w:p>
    <w:p>
      <w:pPr>
        <w:pStyle w:val="Tijeloteksta1"/>
        <w:spacing w:lineRule="auto" w:line="276"/>
        <w:jc w:val="both"/>
        <w:rPr>
          <w:rFonts w:ascii="Arial" w:hAnsi="Arial"/>
          <w:sz w:val="22"/>
          <w:szCs w:val="22"/>
        </w:rPr>
      </w:pPr>
      <w:r>
        <w:rPr>
          <w:rFonts w:ascii="Arial" w:hAnsi="Arial"/>
          <w:sz w:val="22"/>
          <w:szCs w:val="22"/>
        </w:rPr>
      </w:r>
    </w:p>
    <w:p>
      <w:pPr>
        <w:pStyle w:val="Tijeloteksta1"/>
        <w:spacing w:lineRule="auto" w:line="276"/>
        <w:ind w:left="708" w:hanging="0"/>
        <w:jc w:val="both"/>
        <w:rPr>
          <w:rFonts w:ascii="Arial" w:hAnsi="Arial"/>
          <w:color w:val="000000"/>
          <w:sz w:val="22"/>
          <w:szCs w:val="22"/>
        </w:rPr>
      </w:pPr>
      <w:r>
        <w:rPr>
          <w:rFonts w:ascii="Arial" w:hAnsi="Arial"/>
          <w:b/>
          <w:color w:val="000000"/>
          <w:sz w:val="22"/>
          <w:szCs w:val="22"/>
        </w:rPr>
        <w:t>(2) Najveća dopuštena masa otpada koja se godišnje odlaže na svim neusklađenim odlagalištima u Republici Hrvatskoj</w:t>
      </w:r>
      <w:r>
        <w:rPr>
          <w:rFonts w:ascii="Arial" w:hAnsi="Arial"/>
          <w:color w:val="000000"/>
          <w:sz w:val="22"/>
          <w:szCs w:val="22"/>
        </w:rPr>
        <w:t xml:space="preserve"> iznosi:</w:t>
      </w:r>
    </w:p>
    <w:p>
      <w:pPr>
        <w:pStyle w:val="Tijeloteksta1"/>
        <w:spacing w:lineRule="auto" w:line="276"/>
        <w:ind w:left="708" w:hanging="0"/>
        <w:jc w:val="both"/>
        <w:rPr>
          <w:rFonts w:ascii="Arial" w:hAnsi="Arial"/>
          <w:color w:val="000000"/>
          <w:sz w:val="22"/>
          <w:szCs w:val="22"/>
        </w:rPr>
      </w:pPr>
      <w:r>
        <w:rPr>
          <w:rFonts w:ascii="Arial" w:hAnsi="Arial"/>
          <w:color w:val="000000"/>
          <w:sz w:val="22"/>
          <w:szCs w:val="22"/>
        </w:rPr>
      </w:r>
    </w:p>
    <w:p>
      <w:pPr>
        <w:pStyle w:val="Tijeloteksta1"/>
        <w:spacing w:lineRule="auto" w:line="276"/>
        <w:ind w:left="708" w:firstLine="708"/>
        <w:rPr>
          <w:rFonts w:ascii="Arial" w:hAnsi="Arial"/>
          <w:color w:val="000000"/>
          <w:sz w:val="22"/>
          <w:szCs w:val="22"/>
        </w:rPr>
      </w:pPr>
      <w:r>
        <w:rPr>
          <w:rFonts w:ascii="Arial" w:hAnsi="Arial"/>
          <w:color w:val="000000"/>
          <w:sz w:val="22"/>
          <w:szCs w:val="22"/>
        </w:rPr>
        <w:t>1. 1.710.000 tona do 31. prosinca 2013.</w:t>
      </w:r>
    </w:p>
    <w:p>
      <w:pPr>
        <w:pStyle w:val="Tijeloteksta1"/>
        <w:spacing w:lineRule="auto" w:line="276"/>
        <w:ind w:left="708" w:firstLine="708"/>
        <w:rPr>
          <w:rFonts w:ascii="Arial" w:hAnsi="Arial"/>
          <w:color w:val="000000"/>
          <w:sz w:val="22"/>
          <w:szCs w:val="22"/>
        </w:rPr>
      </w:pPr>
      <w:r>
        <w:rPr>
          <w:rFonts w:ascii="Arial" w:hAnsi="Arial"/>
          <w:color w:val="000000"/>
          <w:sz w:val="22"/>
          <w:szCs w:val="22"/>
        </w:rPr>
        <w:t>2. 1.410.000 tona do 31. prosinca 2014.</w:t>
      </w:r>
    </w:p>
    <w:p>
      <w:pPr>
        <w:pStyle w:val="Tijeloteksta1"/>
        <w:spacing w:lineRule="auto" w:line="276"/>
        <w:ind w:left="708" w:firstLine="708"/>
        <w:rPr>
          <w:rFonts w:ascii="Arial" w:hAnsi="Arial"/>
          <w:color w:val="000000"/>
          <w:sz w:val="22"/>
          <w:szCs w:val="22"/>
        </w:rPr>
      </w:pPr>
      <w:r>
        <w:rPr>
          <w:rFonts w:ascii="Arial" w:hAnsi="Arial"/>
          <w:color w:val="000000"/>
          <w:sz w:val="22"/>
          <w:szCs w:val="22"/>
        </w:rPr>
        <w:t>3. 1.210.000 tona do 31. prosinca 2015.</w:t>
      </w:r>
    </w:p>
    <w:p>
      <w:pPr>
        <w:pStyle w:val="Tijeloteksta1"/>
        <w:spacing w:lineRule="auto" w:line="276"/>
        <w:ind w:left="708" w:firstLine="708"/>
        <w:rPr>
          <w:rFonts w:ascii="Arial" w:hAnsi="Arial"/>
          <w:color w:val="000000"/>
          <w:sz w:val="22"/>
          <w:szCs w:val="22"/>
        </w:rPr>
      </w:pPr>
      <w:r>
        <w:rPr>
          <w:rFonts w:ascii="Arial" w:hAnsi="Arial"/>
          <w:color w:val="000000"/>
          <w:sz w:val="22"/>
          <w:szCs w:val="22"/>
        </w:rPr>
        <w:t>4. 1.010.000 tona do 31. prosinca 2016.</w:t>
      </w:r>
    </w:p>
    <w:p>
      <w:pPr>
        <w:pStyle w:val="Tijeloteksta1"/>
        <w:spacing w:lineRule="auto" w:line="276"/>
        <w:ind w:left="708" w:firstLine="708"/>
        <w:rPr>
          <w:rFonts w:ascii="Arial" w:hAnsi="Arial"/>
          <w:color w:val="000000"/>
          <w:sz w:val="22"/>
          <w:szCs w:val="22"/>
        </w:rPr>
      </w:pPr>
      <w:r>
        <w:rPr>
          <w:rFonts w:ascii="Arial" w:hAnsi="Arial"/>
          <w:color w:val="000000"/>
          <w:sz w:val="22"/>
          <w:szCs w:val="22"/>
        </w:rPr>
        <w:t>5. 800.000 tona do 31. prosinca 2017.</w:t>
      </w:r>
    </w:p>
    <w:p>
      <w:pPr>
        <w:pStyle w:val="Tijeloteksta1"/>
        <w:spacing w:lineRule="auto" w:line="276"/>
        <w:rPr>
          <w:rFonts w:ascii="Arial" w:hAnsi="Arial"/>
          <w:color w:val="000000"/>
          <w:sz w:val="22"/>
          <w:szCs w:val="22"/>
        </w:rPr>
      </w:pPr>
      <w:r>
        <w:rPr>
          <w:rFonts w:ascii="Arial" w:hAnsi="Arial"/>
          <w:color w:val="000000"/>
          <w:sz w:val="22"/>
          <w:szCs w:val="22"/>
        </w:rPr>
      </w:r>
    </w:p>
    <w:p>
      <w:pPr>
        <w:pStyle w:val="Tijeloteksta1"/>
        <w:spacing w:lineRule="auto" w:line="276"/>
        <w:ind w:left="708" w:hanging="0"/>
        <w:jc w:val="both"/>
        <w:rPr>
          <w:rFonts w:ascii="Arial" w:hAnsi="Arial" w:cs="Arial"/>
          <w:b/>
          <w:b/>
          <w:color w:val="000000"/>
          <w:sz w:val="22"/>
          <w:szCs w:val="22"/>
        </w:rPr>
      </w:pPr>
      <w:r>
        <w:rPr>
          <w:rFonts w:cs="Arial" w:ascii="Arial" w:hAnsi="Arial"/>
          <w:b/>
          <w:color w:val="000000"/>
          <w:sz w:val="22"/>
          <w:szCs w:val="22"/>
        </w:rPr>
        <w:t>(3) Zabranjeno je odlaganje otpada na neusklađenom odlagalištu u Republici      Hrvatskoj nakon 31. prosinca 2017.</w:t>
      </w:r>
    </w:p>
    <w:p>
      <w:pPr>
        <w:pStyle w:val="Tijeloteksta1"/>
        <w:spacing w:lineRule="auto" w:line="276"/>
        <w:ind w:left="708" w:hanging="0"/>
        <w:jc w:val="both"/>
        <w:rPr>
          <w:rFonts w:ascii="Arial" w:hAnsi="Arial" w:cs="Arial"/>
          <w:b/>
          <w:b/>
          <w:color w:val="000000"/>
          <w:sz w:val="22"/>
          <w:szCs w:val="22"/>
        </w:rPr>
      </w:pPr>
      <w:r>
        <w:rPr>
          <w:rFonts w:cs="Arial" w:ascii="Arial" w:hAnsi="Arial"/>
          <w:b/>
          <w:color w:val="000000"/>
          <w:sz w:val="22"/>
          <w:szCs w:val="22"/>
        </w:rPr>
      </w:r>
    </w:p>
    <w:p>
      <w:pPr>
        <w:pStyle w:val="Tijeloteksta1"/>
        <w:spacing w:lineRule="auto" w:line="276"/>
        <w:ind w:left="708" w:hanging="0"/>
        <w:jc w:val="both"/>
        <w:rPr>
          <w:rFonts w:ascii="Arial" w:hAnsi="Arial" w:cs="Arial"/>
          <w:b/>
          <w:b/>
          <w:color w:val="000000"/>
          <w:sz w:val="22"/>
          <w:szCs w:val="22"/>
        </w:rPr>
      </w:pPr>
      <w:r>
        <w:rPr>
          <w:rFonts w:cs="Arial" w:ascii="Arial" w:hAnsi="Arial"/>
          <w:b/>
          <w:color w:val="000000"/>
          <w:sz w:val="22"/>
          <w:szCs w:val="22"/>
        </w:rPr>
        <w:t>(4) 50% priprema za ponovnu uporabu i recikliranje komunalnog otpada do 2020. godine.</w:t>
      </w:r>
    </w:p>
    <w:p>
      <w:pPr>
        <w:pStyle w:val="Tijeloteksta1"/>
        <w:spacing w:lineRule="auto" w:line="276"/>
        <w:ind w:left="708" w:hanging="0"/>
        <w:jc w:val="both"/>
        <w:rPr>
          <w:rFonts w:ascii="Arial" w:hAnsi="Arial" w:cs="Arial"/>
          <w:b/>
          <w:b/>
          <w:color w:val="000000"/>
          <w:sz w:val="22"/>
          <w:szCs w:val="22"/>
        </w:rPr>
      </w:pPr>
      <w:r>
        <w:rPr>
          <w:rFonts w:cs="Arial" w:ascii="Arial" w:hAnsi="Arial"/>
          <w:b/>
          <w:color w:val="000000"/>
          <w:sz w:val="22"/>
          <w:szCs w:val="22"/>
        </w:rPr>
      </w:r>
    </w:p>
    <w:p>
      <w:pPr>
        <w:pStyle w:val="Tijeloteksta1"/>
        <w:spacing w:lineRule="auto" w:line="276"/>
        <w:ind w:left="708" w:hanging="0"/>
        <w:jc w:val="both"/>
        <w:rPr>
          <w:rFonts w:ascii="Arial" w:hAnsi="Arial" w:cs="Arial"/>
          <w:b/>
          <w:b/>
          <w:color w:val="000000"/>
          <w:sz w:val="22"/>
          <w:szCs w:val="22"/>
        </w:rPr>
      </w:pPr>
      <w:r>
        <w:rPr>
          <w:rFonts w:cs="Arial" w:ascii="Arial" w:hAnsi="Arial"/>
          <w:b/>
          <w:color w:val="000000"/>
          <w:sz w:val="22"/>
          <w:szCs w:val="22"/>
        </w:rPr>
        <w:t>(5) 70% recikliranja / materijalne oporabe građevnog otpada do 2020. godine.</w:t>
      </w:r>
    </w:p>
    <w:p>
      <w:pPr>
        <w:pStyle w:val="Tijeloteksta1"/>
        <w:spacing w:lineRule="auto" w:line="276"/>
        <w:ind w:left="708" w:hanging="0"/>
        <w:jc w:val="both"/>
        <w:rPr>
          <w:rFonts w:ascii="Arial" w:hAnsi="Arial" w:cs="Arial"/>
          <w:b/>
          <w:b/>
          <w:color w:val="000000"/>
          <w:sz w:val="22"/>
          <w:szCs w:val="22"/>
        </w:rPr>
      </w:pPr>
      <w:r>
        <w:rPr>
          <w:rFonts w:cs="Arial" w:ascii="Arial" w:hAnsi="Arial"/>
          <w:b/>
          <w:color w:val="000000"/>
          <w:sz w:val="22"/>
          <w:szCs w:val="22"/>
        </w:rPr>
      </w:r>
    </w:p>
    <w:p>
      <w:pPr>
        <w:pStyle w:val="Tijeloteksta1"/>
        <w:tabs>
          <w:tab w:val="left" w:pos="8388" w:leader="none"/>
        </w:tabs>
        <w:spacing w:lineRule="auto" w:line="276"/>
        <w:jc w:val="both"/>
        <w:rPr>
          <w:rFonts w:ascii="Arial" w:hAnsi="Arial" w:cs="Arial"/>
          <w:color w:val="000000"/>
          <w:sz w:val="22"/>
          <w:szCs w:val="22"/>
        </w:rPr>
      </w:pPr>
      <w:r>
        <w:rPr>
          <w:rFonts w:cs="Arial" w:ascii="Arial" w:hAnsi="Arial"/>
          <w:color w:val="000000"/>
          <w:sz w:val="22"/>
          <w:szCs w:val="22"/>
        </w:rPr>
        <w:t xml:space="preserve">Prvi korak u cjelokupnom sustavu je osigurati provođenje mjera za sprječavanje nastanka otpada definirane Planom sprječavanja nastanaka otpada. Najvažnije mjere u poglavlju sprječavanja nastanka otpada su uspostava Centara za ponovnu uporabu i osiguranje potrebne opreme za kućno kompostiranje. Nadalje, težište u sustavu gospodarenja komunalnim otpadom će biti na sustavu odvojenog sakupljanja komunalnog otpada i to kroz osiguranje potrebne infrastrukture za odvajanje komunalnog otpada: na mjestu nastanka otpada, putem reciklažnih dvorišta, na javnim površinama te kroz provedbu propisa za posebne kategorije otpada (otpadna ambalaža, otpadne gume, otpadna EE oprema itd). </w:t>
      </w:r>
    </w:p>
    <w:p>
      <w:pPr>
        <w:pStyle w:val="Tijeloteksta1"/>
        <w:tabs>
          <w:tab w:val="left" w:pos="8388" w:leader="none"/>
        </w:tabs>
        <w:spacing w:lineRule="auto" w:line="276"/>
        <w:jc w:val="both"/>
        <w:rPr>
          <w:rFonts w:ascii="Arial" w:hAnsi="Arial" w:cs="Arial"/>
          <w:color w:val="000000"/>
          <w:sz w:val="22"/>
          <w:szCs w:val="22"/>
        </w:rPr>
      </w:pPr>
      <w:r>
        <w:rPr>
          <w:rFonts w:cs="Arial" w:ascii="Arial" w:hAnsi="Arial"/>
          <w:color w:val="000000"/>
          <w:sz w:val="22"/>
          <w:szCs w:val="22"/>
        </w:rPr>
        <w:t>Odvojeno prikupljeni biootpad će se odvoziti na materijalnu oporabu u postrojenja za biološku (aerobnu ili anaerobnu) obradu odvojeno prikupljenog biootpada (kompostište ili anaerobna digestija) u cilju proizvodnje komposta ili digestata i bioplina.</w:t>
      </w:r>
    </w:p>
    <w:p>
      <w:pPr>
        <w:pStyle w:val="Tijeloteksta1"/>
        <w:tabs>
          <w:tab w:val="left" w:pos="8388" w:leader="none"/>
        </w:tabs>
        <w:spacing w:lineRule="auto" w:line="276"/>
        <w:jc w:val="both"/>
        <w:rPr>
          <w:rFonts w:ascii="Arial" w:hAnsi="Arial" w:cs="Arial"/>
          <w:color w:val="000000"/>
          <w:sz w:val="22"/>
          <w:szCs w:val="22"/>
        </w:rPr>
      </w:pPr>
      <w:r>
        <w:rPr>
          <w:rFonts w:cs="Arial" w:ascii="Arial" w:hAnsi="Arial"/>
          <w:color w:val="000000"/>
          <w:sz w:val="22"/>
          <w:szCs w:val="22"/>
        </w:rPr>
        <w:t xml:space="preserve">Odvojeno prikupljeni papir, karton, metal, staklo i plastika će se odvoziti na postrojenja za sortiranje odvojeno prikupljenog otpada (sortirnice) radi povećanja vrijednosti odnosno kvalitete odvojeno prikupljenog otpada i pripreme otpada za recikliranje. Odvojeno prikupljeni otpad će se nakon sortiranja odvoziti ovlaštenim tvrtkama za recikliranje, odnosno obradu. </w:t>
      </w:r>
    </w:p>
    <w:p>
      <w:pPr>
        <w:pStyle w:val="Tijeloteksta1"/>
        <w:tabs>
          <w:tab w:val="left" w:pos="8388" w:leader="none"/>
        </w:tabs>
        <w:spacing w:lineRule="auto" w:line="276"/>
        <w:jc w:val="both"/>
        <w:rPr>
          <w:rFonts w:ascii="Arial" w:hAnsi="Arial" w:cs="Arial"/>
          <w:color w:val="000000"/>
          <w:sz w:val="22"/>
          <w:szCs w:val="22"/>
        </w:rPr>
      </w:pPr>
      <w:r>
        <w:rPr>
          <w:rFonts w:cs="Arial" w:ascii="Arial" w:hAnsi="Arial"/>
          <w:color w:val="000000"/>
          <w:sz w:val="22"/>
          <w:szCs w:val="22"/>
        </w:rPr>
        <w:t xml:space="preserve">Miješani komunalni otpad (ostatni otpad) će se prikupljati u okviru javne usluge prikupljanja miješanog komunalnog otpada koju pružaju davatelji te usluge, a prikupljeni otpad će se dopremati do CGO-a izravno ili putem pretovarnih stanica.  </w:t>
      </w:r>
    </w:p>
    <w:p>
      <w:pPr>
        <w:pStyle w:val="Tijeloteksta1"/>
        <w:tabs>
          <w:tab w:val="left" w:pos="8388" w:leader="none"/>
        </w:tabs>
        <w:spacing w:lineRule="auto" w:line="276"/>
        <w:jc w:val="both"/>
        <w:rPr>
          <w:rFonts w:ascii="Arial" w:hAnsi="Arial" w:cs="Arial"/>
          <w:color w:val="000000"/>
          <w:sz w:val="22"/>
          <w:szCs w:val="22"/>
        </w:rPr>
      </w:pPr>
      <w:r>
        <w:rPr>
          <w:rFonts w:cs="Arial" w:ascii="Arial" w:hAnsi="Arial"/>
          <w:color w:val="000000"/>
          <w:sz w:val="22"/>
          <w:szCs w:val="22"/>
        </w:rPr>
        <w:t>Uspostavom prethodno opisanog sustava osigurat će se ispunjenje ciljeva ovoga Plana u 2022. godini, a isto tako i promijeniti današnji tokovi otpada. Primjenom mjera sprječavanja nastanka otpada ispunit će se cilj smanjenja ukupne količine komunalnog otpada u 2022. godini.</w:t>
      </w:r>
    </w:p>
    <w:p>
      <w:pPr>
        <w:pStyle w:val="Tijeloteksta1"/>
        <w:tabs>
          <w:tab w:val="left" w:pos="8388" w:leader="none"/>
        </w:tabs>
        <w:spacing w:lineRule="auto" w:line="276"/>
        <w:jc w:val="both"/>
        <w:rPr>
          <w:rFonts w:ascii="Arial" w:hAnsi="Arial" w:cs="Arial"/>
          <w:color w:val="000000"/>
          <w:sz w:val="22"/>
          <w:szCs w:val="22"/>
        </w:rPr>
      </w:pPr>
      <w:r>
        <w:rPr>
          <w:rFonts w:cs="Arial" w:ascii="Arial" w:hAnsi="Arial"/>
          <w:color w:val="000000"/>
          <w:sz w:val="22"/>
          <w:szCs w:val="22"/>
        </w:rPr>
        <w:t xml:space="preserve">Primjenom mjera uspostave sustava odvojenog prikupljanja otpada u 2022. godini će se izdvojiti najmanje 942.733 t sastavnica komunalnog otpada kao što su: papir, karton, staklo, plastika, biootpad, glomazni otpad. </w:t>
      </w:r>
    </w:p>
    <w:p>
      <w:pPr>
        <w:pStyle w:val="Tijeloteksta1"/>
        <w:tabs>
          <w:tab w:val="left" w:pos="8388" w:leader="none"/>
        </w:tabs>
        <w:spacing w:lineRule="auto" w:line="276"/>
        <w:jc w:val="both"/>
        <w:rPr>
          <w:rFonts w:ascii="Arial" w:hAnsi="Arial" w:cs="Arial"/>
          <w:color w:val="000000"/>
          <w:sz w:val="22"/>
          <w:szCs w:val="22"/>
        </w:rPr>
      </w:pPr>
      <w:r>
        <w:rPr>
          <w:rFonts w:cs="Arial" w:ascii="Arial" w:hAnsi="Arial"/>
          <w:color w:val="000000"/>
          <w:sz w:val="22"/>
          <w:szCs w:val="22"/>
        </w:rPr>
        <w:t xml:space="preserve">U ukupnoj količini odvojeno prikupljenog otpada najmanje 201.116 t otpada će biti odvojeno prikupljeni biootpad, što predstavlja 40% od ukupno proizvedenog biootpada, dok će najmanje 741.617 t biti odvojeno prikupljeno korisnih sirovina  kao što su papir, karton, staklo, plastika i dr. Primjenom svih mjera na kraju ovog planskog razdoblja preostati će maksimalno 628.489 t miješanog komunalnog otpada.  </w:t>
      </w:r>
    </w:p>
    <w:p>
      <w:pPr>
        <w:pStyle w:val="Tijeloteksta1"/>
        <w:tabs>
          <w:tab w:val="left" w:pos="8388" w:leader="none"/>
        </w:tabs>
        <w:spacing w:lineRule="auto" w:line="360"/>
        <w:jc w:val="both"/>
        <w:rPr>
          <w:rFonts w:ascii="Arial" w:hAnsi="Arial" w:cs="Arial"/>
          <w:color w:val="000000"/>
          <w:sz w:val="22"/>
          <w:szCs w:val="22"/>
        </w:rPr>
      </w:pPr>
      <w:r>
        <w:rPr>
          <w:rFonts w:cs="Arial" w:ascii="Arial" w:hAnsi="Arial"/>
          <w:color w:val="000000"/>
          <w:sz w:val="22"/>
          <w:szCs w:val="22"/>
        </w:rPr>
      </w:r>
    </w:p>
    <w:p>
      <w:pPr>
        <w:pStyle w:val="Heading2"/>
        <w:rPr/>
      </w:pPr>
      <w:bookmarkStart w:id="4" w:name="_Toc475347806"/>
      <w:bookmarkEnd w:id="4"/>
      <w:r>
        <w:rPr/>
        <w:t>1.2 Obveze jedinice lokalne samouprave</w:t>
      </w:r>
    </w:p>
    <w:p>
      <w:pPr>
        <w:pStyle w:val="Normal"/>
        <w:rPr/>
      </w:pPr>
      <w:r>
        <w:rPr/>
      </w:r>
    </w:p>
    <w:p>
      <w:pPr>
        <w:pStyle w:val="Normal"/>
        <w:spacing w:lineRule="auto" w:line="276"/>
        <w:rPr/>
      </w:pPr>
      <w:r>
        <w:rPr/>
        <w:t>Jedinica lokalne samouprave dužna je na svom području osigurati:</w:t>
      </w:r>
    </w:p>
    <w:p>
      <w:pPr>
        <w:pStyle w:val="ListParagraph"/>
        <w:numPr>
          <w:ilvl w:val="0"/>
          <w:numId w:val="2"/>
        </w:numPr>
        <w:spacing w:lineRule="auto" w:line="276"/>
        <w:rPr/>
      </w:pPr>
      <w:r>
        <w:rPr/>
        <w:t>javnu uslugu prikupljanja miješanog komunalnog otpada i biorazgradivog komunalnog otpada,</w:t>
      </w:r>
    </w:p>
    <w:p>
      <w:pPr>
        <w:pStyle w:val="ListParagraph"/>
        <w:spacing w:lineRule="auto" w:line="276"/>
        <w:rPr/>
      </w:pPr>
      <w:r>
        <w:rPr/>
      </w:r>
    </w:p>
    <w:p>
      <w:pPr>
        <w:pStyle w:val="ListParagraph"/>
        <w:numPr>
          <w:ilvl w:val="0"/>
          <w:numId w:val="2"/>
        </w:numPr>
        <w:spacing w:lineRule="auto" w:line="276"/>
        <w:rPr/>
      </w:pPr>
      <w:r>
        <w:rPr/>
        <w:t>odvojeno prikupljanje otpadnog papira, metala, stakla, plastike i tekstila, te krupnog (glomaznog) komunalnog otpada,</w:t>
      </w:r>
    </w:p>
    <w:p>
      <w:pPr>
        <w:pStyle w:val="ListParagraph"/>
        <w:spacing w:lineRule="auto" w:line="276"/>
        <w:rPr/>
      </w:pPr>
      <w:r>
        <w:rPr/>
      </w:r>
    </w:p>
    <w:p>
      <w:pPr>
        <w:pStyle w:val="ListParagraph"/>
        <w:numPr>
          <w:ilvl w:val="0"/>
          <w:numId w:val="2"/>
        </w:numPr>
        <w:spacing w:lineRule="auto" w:line="276"/>
        <w:rPr/>
      </w:pPr>
      <w:r>
        <w:rPr/>
        <w:t>sprječavanje odbacivanja otpada na način suprotan Zakonu, te uklanjanje tako odbačenog otpada,</w:t>
      </w:r>
    </w:p>
    <w:p>
      <w:pPr>
        <w:pStyle w:val="ListParagraph"/>
        <w:spacing w:lineRule="auto" w:line="276"/>
        <w:rPr/>
      </w:pPr>
      <w:r>
        <w:rPr/>
      </w:r>
    </w:p>
    <w:p>
      <w:pPr>
        <w:pStyle w:val="ListParagraph"/>
        <w:numPr>
          <w:ilvl w:val="0"/>
          <w:numId w:val="2"/>
        </w:numPr>
        <w:spacing w:lineRule="auto" w:line="276"/>
        <w:rPr/>
      </w:pPr>
      <w:r>
        <w:rPr/>
        <w:t>provedbu Plana,</w:t>
      </w:r>
    </w:p>
    <w:p>
      <w:pPr>
        <w:pStyle w:val="ListParagraph"/>
        <w:spacing w:lineRule="auto" w:line="276"/>
        <w:rPr/>
      </w:pPr>
      <w:r>
        <w:rPr/>
      </w:r>
    </w:p>
    <w:p>
      <w:pPr>
        <w:pStyle w:val="ListParagraph"/>
        <w:numPr>
          <w:ilvl w:val="0"/>
          <w:numId w:val="2"/>
        </w:numPr>
        <w:spacing w:lineRule="auto" w:line="276"/>
        <w:rPr/>
      </w:pPr>
      <w:r>
        <w:rPr/>
        <w:t>donošenje i provedbu plana gospodarenja otpadom jedinice lokalne samouprave,</w:t>
      </w:r>
    </w:p>
    <w:p>
      <w:pPr>
        <w:pStyle w:val="ListParagraph"/>
        <w:numPr>
          <w:ilvl w:val="0"/>
          <w:numId w:val="2"/>
        </w:numPr>
        <w:spacing w:lineRule="auto" w:line="276"/>
        <w:rPr/>
      </w:pPr>
      <w:r>
        <w:rPr/>
        <w:t>provođenje izobrazno-informativne aktivnosti na svom području,</w:t>
      </w:r>
    </w:p>
    <w:p>
      <w:pPr>
        <w:pStyle w:val="ListParagraph"/>
        <w:spacing w:lineRule="auto" w:line="276"/>
        <w:rPr/>
      </w:pPr>
      <w:r>
        <w:rPr/>
      </w:r>
    </w:p>
    <w:p>
      <w:pPr>
        <w:pStyle w:val="ListParagraph"/>
        <w:numPr>
          <w:ilvl w:val="0"/>
          <w:numId w:val="2"/>
        </w:numPr>
        <w:spacing w:lineRule="auto" w:line="276"/>
        <w:rPr/>
      </w:pPr>
      <w:r>
        <w:rPr/>
        <w:t>mogućnost provedbe akcija prikupljanja otpada.</w:t>
      </w:r>
    </w:p>
    <w:p>
      <w:pPr>
        <w:pStyle w:val="ListParagraph"/>
        <w:spacing w:lineRule="auto" w:line="276"/>
        <w:rPr/>
      </w:pPr>
      <w:r>
        <w:rPr/>
      </w:r>
    </w:p>
    <w:p>
      <w:pPr>
        <w:pStyle w:val="NoSpacing"/>
        <w:spacing w:lineRule="auto" w:line="276"/>
        <w:jc w:val="both"/>
        <w:rPr>
          <w:rFonts w:ascii="Arial" w:hAnsi="Arial" w:cs="Arial"/>
          <w:sz w:val="22"/>
          <w:szCs w:val="22"/>
        </w:rPr>
      </w:pPr>
      <w:r>
        <w:rPr>
          <w:rFonts w:cs="Arial" w:ascii="Arial" w:hAnsi="Arial"/>
          <w:sz w:val="22"/>
          <w:szCs w:val="22"/>
        </w:rPr>
        <w:t>Jedinica lokalne samouprave dužna je sudjelovati u sustavima sakupljanja posebnih kategorija otpada sukladno propisu kojim se uređuje gospodarenje posebnom kategorijom otpada.</w:t>
      </w:r>
    </w:p>
    <w:p>
      <w:pPr>
        <w:pStyle w:val="NoSpacing"/>
        <w:spacing w:lineRule="auto" w:line="276"/>
        <w:jc w:val="both"/>
        <w:rPr>
          <w:rFonts w:ascii="Arial" w:hAnsi="Arial" w:cs="Arial"/>
          <w:sz w:val="22"/>
          <w:szCs w:val="22"/>
        </w:rPr>
      </w:pPr>
      <w:r>
        <w:rPr>
          <w:rFonts w:cs="Arial" w:ascii="Arial" w:hAnsi="Arial"/>
          <w:sz w:val="22"/>
          <w:szCs w:val="22"/>
        </w:rPr>
      </w:r>
    </w:p>
    <w:p>
      <w:pPr>
        <w:pStyle w:val="NoSpacing"/>
        <w:spacing w:lineRule="auto" w:line="276"/>
        <w:jc w:val="both"/>
        <w:rPr>
          <w:rFonts w:ascii="Arial" w:hAnsi="Arial" w:cs="Arial"/>
          <w:sz w:val="22"/>
          <w:szCs w:val="22"/>
        </w:rPr>
      </w:pPr>
      <w:r>
        <w:rPr>
          <w:rFonts w:cs="Arial" w:ascii="Arial" w:hAnsi="Arial"/>
          <w:sz w:val="22"/>
          <w:szCs w:val="22"/>
        </w:rPr>
        <w:t>Jedinica lokalne samouprave dužna je osigurati provedbu Plana na kvalitetan, postojan i ekonomski učinkovit način u skladu s načelima održivog razvoja, zaštite okoliša i gospodarenja otpadom osiguravajući pri tom javnost rada.</w:t>
      </w:r>
    </w:p>
    <w:p>
      <w:pPr>
        <w:pStyle w:val="Heading1"/>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1"/>
        <w:rPr/>
      </w:pPr>
      <w:bookmarkStart w:id="5" w:name="_Toc475347807"/>
      <w:bookmarkEnd w:id="5"/>
      <w:r>
        <w:rPr/>
        <w:t xml:space="preserve">2 ANALIZA, TE OCJENA STANJA I POTREBA U GOSPODARENJU OTPADOM NA PODRUČJU OPĆINE </w:t>
      </w:r>
      <w:r>
        <w:rPr/>
        <w:t>DRAGALIĆ</w:t>
      </w:r>
      <w:r>
        <w:rPr/>
        <w:t>, UKLJUČUJUĆI OSTVARIVANJE CILJEVA</w:t>
      </w:r>
    </w:p>
    <w:p>
      <w:pPr>
        <w:pStyle w:val="Normal"/>
        <w:rPr/>
      </w:pPr>
      <w:r>
        <w:rPr/>
      </w:r>
    </w:p>
    <w:p>
      <w:pPr>
        <w:pStyle w:val="Normal"/>
        <w:spacing w:lineRule="auto" w:line="276"/>
        <w:rPr>
          <w:color w:val="000000"/>
        </w:rPr>
      </w:pPr>
      <w:r>
        <w:rPr>
          <w:rFonts w:cs="Arial"/>
          <w:color w:val="000000"/>
        </w:rPr>
        <w:t>U sastavu Brodsko-posavske županije nalazi se 28 jedinica lokalne samouprave i to 2 grada i 26 općina s ukupno 184 naselja.</w:t>
      </w:r>
    </w:p>
    <w:p>
      <w:pPr>
        <w:pStyle w:val="Normal"/>
        <w:jc w:val="center"/>
        <w:rPr/>
      </w:pPr>
      <w:r>
        <w:rPr>
          <w:i/>
        </w:rPr>
        <w:t>Slika 2.1 Brodsko - posavska županija</w:t>
      </w:r>
    </w:p>
    <w:p>
      <w:pPr>
        <w:pStyle w:val="Normal"/>
        <w:spacing w:lineRule="auto" w:line="276"/>
        <w:rPr/>
      </w:pPr>
      <w:r>
        <w:rPr/>
        <w:drawing>
          <wp:anchor behindDoc="0" distT="0" distB="7620" distL="0" distR="0" simplePos="0" locked="0" layoutInCell="1" allowOverlap="1" relativeHeight="14">
            <wp:simplePos x="0" y="0"/>
            <wp:positionH relativeFrom="column">
              <wp:posOffset>60960</wp:posOffset>
            </wp:positionH>
            <wp:positionV relativeFrom="paragraph">
              <wp:posOffset>-8890</wp:posOffset>
            </wp:positionV>
            <wp:extent cx="5676900" cy="2399030"/>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6"/>
                    <a:stretch>
                      <a:fillRect/>
                    </a:stretch>
                  </pic:blipFill>
                  <pic:spPr bwMode="auto">
                    <a:xfrm>
                      <a:off x="0" y="0"/>
                      <a:ext cx="5676900" cy="2399030"/>
                    </a:xfrm>
                    <a:prstGeom prst="rect">
                      <a:avLst/>
                    </a:prstGeom>
                  </pic:spPr>
                </pic:pic>
              </a:graphicData>
            </a:graphic>
          </wp:anchor>
        </w:drawing>
      </w:r>
    </w:p>
    <w:p>
      <w:pPr>
        <w:pStyle w:val="TextBody"/>
        <w:rPr/>
      </w:pPr>
      <w:r>
        <w:rPr/>
        <w:t>Općina Dragalić jedna je od najmlađih općina u Hrvatskoj. Nastala je 1997. godine dijeljenjem općine Gornji Bogićevci na dva dijela i obuhvaća njezin bivši istočni dio – naselja: Dragalić, Donji Bogićevci, Gorice, Mašić, Medari i Poljane. Dragalić se nalazi desetak kilometara zapadno od Nove Gradiške, u plodnom dijelu Posavlja, uz autocestu Zagreb – Lipovac, staru krajišku cestu i magistralnu prugu na kojoj se nalazi i željeznička postaja Dragalić. Iako je općinsko središte sa osnovnom školom, poštom i nekoliko trgovina, Dragalić je danas kao i ostala mjesta općine uglavnom seosko naselje.</w:t>
      </w:r>
    </w:p>
    <w:p>
      <w:pPr>
        <w:pStyle w:val="Normal"/>
        <w:spacing w:lineRule="auto" w:line="276"/>
        <w:jc w:val="center"/>
        <w:rPr/>
      </w:pPr>
      <w:r>
        <w:rPr>
          <w:i/>
        </w:rPr>
        <w:t>Slika 2.2 Općina Dragalić</w:t>
      </w:r>
    </w:p>
    <w:p>
      <w:pPr>
        <w:pStyle w:val="Normal"/>
        <w:spacing w:lineRule="auto" w:line="276"/>
        <w:jc w:val="center"/>
        <w:rPr/>
      </w:pPr>
      <w:r>
        <w:rPr/>
        <w:drawing>
          <wp:inline distT="0" distB="0" distL="0" distR="0">
            <wp:extent cx="5589905" cy="2530475"/>
            <wp:effectExtent l="0" t="0" r="0" b="0"/>
            <wp:docPr id="3" name="Slika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13" descr=""/>
                    <pic:cNvPicPr>
                      <a:picLocks noChangeAspect="1" noChangeArrowheads="1"/>
                    </pic:cNvPicPr>
                  </pic:nvPicPr>
                  <pic:blipFill>
                    <a:blip r:embed="rId7"/>
                    <a:stretch>
                      <a:fillRect/>
                    </a:stretch>
                  </pic:blipFill>
                  <pic:spPr bwMode="auto">
                    <a:xfrm>
                      <a:off x="0" y="0"/>
                      <a:ext cx="5589905" cy="2530475"/>
                    </a:xfrm>
                    <a:prstGeom prst="rect">
                      <a:avLst/>
                    </a:prstGeom>
                  </pic:spPr>
                </pic:pic>
              </a:graphicData>
            </a:graphic>
          </wp:inline>
        </w:drawing>
      </w:r>
    </w:p>
    <w:p>
      <w:pPr>
        <w:pStyle w:val="Normal"/>
        <w:jc w:val="center"/>
        <w:rPr>
          <w:rFonts w:cs="Arial"/>
          <w:color w:val="000000"/>
        </w:rPr>
      </w:pPr>
      <w:r>
        <w:rPr>
          <w:rFonts w:cs="Arial"/>
          <w:color w:val="000000"/>
        </w:rPr>
      </w:r>
    </w:p>
    <w:p>
      <w:pPr>
        <w:pStyle w:val="Normal"/>
        <w:jc w:val="center"/>
        <w:rPr>
          <w:rFonts w:cs="Arial"/>
          <w:color w:val="000000"/>
        </w:rPr>
      </w:pPr>
      <w:r>
        <w:rPr>
          <w:rFonts w:cs="Arial"/>
          <w:color w:val="000000"/>
        </w:rPr>
      </w:r>
    </w:p>
    <w:p>
      <w:pPr>
        <w:pStyle w:val="Heading2"/>
        <w:rPr/>
      </w:pPr>
      <w:bookmarkStart w:id="6" w:name="_Toc475347808"/>
      <w:bookmarkEnd w:id="6"/>
      <w:r>
        <w:rPr/>
        <w:t>2.1 Stanovništvo</w:t>
      </w:r>
    </w:p>
    <w:p>
      <w:pPr>
        <w:pStyle w:val="Normal"/>
        <w:rPr/>
      </w:pPr>
      <w:r>
        <w:rPr/>
      </w:r>
    </w:p>
    <w:p>
      <w:pPr>
        <w:pStyle w:val="Normal"/>
        <w:spacing w:lineRule="auto" w:line="276" w:before="0" w:after="0"/>
        <w:rPr>
          <w:color w:val="000000"/>
        </w:rPr>
      </w:pPr>
      <w:r>
        <w:rPr>
          <w:rFonts w:cs="Arial"/>
          <w:color w:val="000000"/>
        </w:rPr>
        <w:t>Stanovništvo i njegove značajke su vrlo značajne stavke svakog područja na način da njegova pojedina demografska obilježja u velikoj mjeri određuju njegov gospodarski, kulturni, društveni kao i sveopći razvoj te su pokazatelj razvojnog potencijala određene društvene sredine.</w:t>
      </w:r>
    </w:p>
    <w:p>
      <w:pPr>
        <w:pStyle w:val="Normal"/>
        <w:spacing w:lineRule="auto" w:line="276" w:before="0" w:after="0"/>
        <w:rPr/>
      </w:pPr>
      <w:r>
        <w:rPr>
          <w:rFonts w:cs="Arial"/>
          <w:color w:val="000000"/>
        </w:rPr>
        <w:t xml:space="preserve">Prema podacima Državnog zavoda za statistiku </w:t>
      </w:r>
      <w:r>
        <w:rPr>
          <w:rFonts w:cs="Arial"/>
          <w:b/>
          <w:bCs/>
          <w:color w:val="000000"/>
        </w:rPr>
        <w:t>2011. godine na području Općine Dragalić stanuje 1361 stanovnika u 483 kućanstava.</w:t>
      </w:r>
      <w:r>
        <w:rPr>
          <w:rFonts w:cs="Arial"/>
          <w:color w:val="000000"/>
        </w:rPr>
        <w:t xml:space="preserve"> </w:t>
      </w:r>
    </w:p>
    <w:p>
      <w:pPr>
        <w:pStyle w:val="Normal"/>
        <w:spacing w:lineRule="auto" w:line="276" w:before="0" w:after="0"/>
        <w:rPr/>
      </w:pPr>
      <w:r>
        <w:rPr>
          <w:rFonts w:cs="Arial"/>
          <w:color w:val="000000"/>
        </w:rPr>
        <w:t xml:space="preserve">Naselje Dragalić je administrativno sjedište Općine Dragalić. </w:t>
      </w:r>
    </w:p>
    <w:p>
      <w:pPr>
        <w:pStyle w:val="Normal"/>
        <w:spacing w:lineRule="auto" w:line="276" w:before="0" w:after="0"/>
        <w:rPr>
          <w:rFonts w:cs="Arial"/>
          <w:color w:val="000000"/>
        </w:rPr>
      </w:pPr>
      <w:r>
        <w:rPr>
          <w:rFonts w:cs="Arial"/>
          <w:color w:val="000000"/>
        </w:rPr>
      </w:r>
    </w:p>
    <w:p>
      <w:pPr>
        <w:pStyle w:val="Normal"/>
        <w:spacing w:lineRule="auto" w:line="360" w:before="0" w:after="0"/>
        <w:jc w:val="center"/>
        <w:rPr/>
      </w:pPr>
      <w:r>
        <w:rPr>
          <w:rFonts w:cs="Arial"/>
          <w:i/>
          <w:color w:val="000000"/>
        </w:rPr>
        <w:t>Tablica 2.1 Broj stanovnika po naseljima u Općini Dragalić*</w:t>
      </w:r>
    </w:p>
    <w:p>
      <w:pPr>
        <w:pStyle w:val="Normal"/>
        <w:spacing w:lineRule="auto" w:line="360" w:before="0" w:after="0"/>
        <w:jc w:val="center"/>
        <w:rPr>
          <w:rFonts w:cs="Arial"/>
          <w:i/>
          <w:i/>
          <w:color w:val="000000"/>
        </w:rPr>
      </w:pPr>
      <w:r>
        <w:rPr/>
        <w:drawing>
          <wp:inline distT="0" distB="0" distL="0" distR="0">
            <wp:extent cx="5760720" cy="4685665"/>
            <wp:effectExtent l="0" t="0" r="0" b="0"/>
            <wp:docPr id="4" name="Slik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1" descr=""/>
                    <pic:cNvPicPr>
                      <a:picLocks noChangeAspect="1" noChangeArrowheads="1"/>
                    </pic:cNvPicPr>
                  </pic:nvPicPr>
                  <pic:blipFill>
                    <a:blip r:embed="rId8"/>
                    <a:stretch>
                      <a:fillRect/>
                    </a:stretch>
                  </pic:blipFill>
                  <pic:spPr bwMode="auto">
                    <a:xfrm>
                      <a:off x="0" y="0"/>
                      <a:ext cx="5760720" cy="4685665"/>
                    </a:xfrm>
                    <a:prstGeom prst="rect">
                      <a:avLst/>
                    </a:prstGeom>
                  </pic:spPr>
                </pic:pic>
              </a:graphicData>
            </a:graphic>
          </wp:inline>
        </w:drawing>
      </w:r>
    </w:p>
    <w:p>
      <w:pPr>
        <w:pStyle w:val="Normal"/>
        <w:spacing w:lineRule="auto" w:line="360" w:before="0" w:after="0"/>
        <w:jc w:val="left"/>
        <w:rPr>
          <w:color w:val="000000"/>
          <w:sz w:val="18"/>
        </w:rPr>
      </w:pPr>
      <w:r>
        <w:rPr/>
      </w:r>
    </w:p>
    <w:p>
      <w:pPr>
        <w:pStyle w:val="Normal"/>
        <w:spacing w:lineRule="auto" w:line="360" w:before="0" w:after="0"/>
        <w:jc w:val="left"/>
        <w:rPr/>
      </w:pPr>
      <w:r>
        <w:rPr>
          <w:color w:val="000000"/>
          <w:sz w:val="18"/>
        </w:rPr>
        <w:t>*Izvor: Državni zavod za statistiku, 2011. godine</w:t>
      </w:r>
    </w:p>
    <w:p>
      <w:pPr>
        <w:pStyle w:val="Normal"/>
        <w:spacing w:lineRule="auto" w:line="360" w:before="0" w:after="0"/>
        <w:jc w:val="center"/>
        <w:rPr>
          <w:color w:val="000000"/>
        </w:rPr>
      </w:pPr>
      <w:r>
        <w:rPr>
          <w:color w:val="000000"/>
        </w:rPr>
      </w:r>
    </w:p>
    <w:p>
      <w:pPr>
        <w:pStyle w:val="Normal"/>
        <w:spacing w:lineRule="auto" w:line="276" w:before="0" w:after="0"/>
        <w:rPr>
          <w:rFonts w:cs="Arial"/>
          <w:color w:val="000000"/>
        </w:rPr>
      </w:pPr>
      <w:r>
        <w:rPr>
          <w:rFonts w:cs="Arial"/>
          <w:color w:val="000000"/>
        </w:rPr>
      </w:r>
    </w:p>
    <w:p>
      <w:pPr>
        <w:pStyle w:val="Normal"/>
        <w:spacing w:lineRule="auto" w:line="276" w:before="0" w:after="0"/>
        <w:rPr>
          <w:rFonts w:cs="Arial"/>
          <w:color w:val="000000"/>
        </w:rPr>
      </w:pPr>
      <w:r>
        <w:rPr>
          <w:rFonts w:cs="Arial"/>
          <w:color w:val="000000"/>
        </w:rPr>
      </w:r>
    </w:p>
    <w:p>
      <w:pPr>
        <w:pStyle w:val="Normal"/>
        <w:spacing w:lineRule="auto" w:line="276" w:before="0" w:after="0"/>
        <w:rPr>
          <w:rFonts w:cs="Arial"/>
          <w:color w:val="000000"/>
        </w:rPr>
      </w:pPr>
      <w:r>
        <w:rPr>
          <w:rFonts w:cs="Arial"/>
          <w:color w:val="000000"/>
        </w:rPr>
      </w:r>
    </w:p>
    <w:p>
      <w:pPr>
        <w:pStyle w:val="Normal"/>
        <w:spacing w:lineRule="auto" w:line="276" w:before="0" w:after="0"/>
        <w:rPr>
          <w:rFonts w:cs="Arial"/>
          <w:color w:val="000000"/>
        </w:rPr>
      </w:pPr>
      <w:r>
        <w:rPr>
          <w:rFonts w:cs="Arial"/>
          <w:color w:val="000000"/>
        </w:rPr>
      </w:r>
    </w:p>
    <w:p>
      <w:pPr>
        <w:pStyle w:val="Heading2"/>
        <w:rPr/>
      </w:pPr>
      <w:bookmarkStart w:id="7" w:name="_Toc475347809"/>
      <w:bookmarkEnd w:id="7"/>
      <w:r>
        <w:rPr/>
        <w:t>2.2 Poduzetništvo i obrtništvo</w:t>
      </w:r>
    </w:p>
    <w:p>
      <w:pPr>
        <w:pStyle w:val="Normal"/>
        <w:rPr/>
      </w:pPr>
      <w:r>
        <w:rPr/>
      </w:r>
    </w:p>
    <w:p>
      <w:pPr>
        <w:pStyle w:val="Normal"/>
        <w:spacing w:lineRule="auto" w:line="276" w:before="0" w:after="0"/>
        <w:rPr/>
      </w:pPr>
      <w:r>
        <w:rPr>
          <w:rFonts w:eastAsia="" w:cs="Arial" w:eastAsiaTheme="minorEastAsia"/>
          <w:color w:val="000000"/>
        </w:rPr>
        <w:t xml:space="preserve">Općina </w:t>
      </w:r>
      <w:r>
        <w:rPr>
          <w:rFonts w:eastAsia="" w:cs="Arial" w:eastAsiaTheme="minorEastAsia"/>
          <w:color w:val="000000"/>
        </w:rPr>
        <w:t>Dragalić</w:t>
      </w:r>
      <w:r>
        <w:rPr>
          <w:rFonts w:eastAsia="" w:cs="Arial" w:eastAsiaTheme="minorEastAsia"/>
          <w:color w:val="000000"/>
        </w:rPr>
        <w:t xml:space="preserve"> ima povoljan geoprometni položaj što pruža mogućnost kvalitetne gospodarske aktivnosti i višeg standarda koji stanovnici mogu ostvariti u svakom od naselja općine. Gospodarska orijentacija je bila i ostala poljoprivreda, a značajni utjecaj na razvitak je dan postojećim i planiranim magistralnim prometnim pravcima (cestovni i željeznički) koji prolaze područjem Općine. Općina </w:t>
      </w:r>
      <w:r>
        <w:rPr>
          <w:rFonts w:eastAsia="" w:cs="Arial" w:eastAsiaTheme="minorEastAsia"/>
          <w:color w:val="000000"/>
        </w:rPr>
        <w:t xml:space="preserve">Dragalić je </w:t>
      </w:r>
      <w:r>
        <w:rPr>
          <w:rFonts w:eastAsia="" w:cs="Arial" w:eastAsiaTheme="minorEastAsia"/>
          <w:color w:val="000000"/>
        </w:rPr>
        <w:t xml:space="preserve">područje bez razvijene industrije, te se stanovništvo bavi poljoprivrednom proizvodnjom, te malim i srednjim poduzetništvom. Na području Općine ne postoje nikakvi značajniji industrijski potencijali. Općina je vezana za gradove Novu Gradišku, Slavonski Brod i Požegu, </w:t>
      </w:r>
      <w:r>
        <w:rPr>
          <w:rFonts w:eastAsia="" w:cs="Arial" w:eastAsiaTheme="minorEastAsia"/>
          <w:color w:val="000000"/>
        </w:rPr>
        <w:t>gdje je većina</w:t>
      </w:r>
      <w:r>
        <w:rPr>
          <w:rFonts w:eastAsia="" w:cs="Arial" w:eastAsiaTheme="minorEastAsia"/>
          <w:color w:val="000000"/>
        </w:rPr>
        <w:t xml:space="preserve"> stanovništva zaposlena.</w:t>
      </w:r>
    </w:p>
    <w:p>
      <w:pPr>
        <w:pStyle w:val="Normal"/>
        <w:spacing w:lineRule="auto" w:line="276"/>
        <w:rPr/>
      </w:pPr>
      <w:r>
        <w:rPr>
          <w:rFonts w:cs="Arial"/>
        </w:rPr>
        <w:t xml:space="preserve">Općina </w:t>
      </w:r>
      <w:r>
        <w:rPr>
          <w:rFonts w:cs="Arial"/>
        </w:rPr>
        <w:t>Dragalić</w:t>
      </w:r>
      <w:r>
        <w:rPr>
          <w:rFonts w:cs="Arial"/>
        </w:rPr>
        <w:t xml:space="preserve"> ima mogućnost razvoja kvalitetnih poljoprivrednih proizvoda s većom dodatnom vrijednošću (proizvodnja zdrave hrane). </w:t>
      </w:r>
    </w:p>
    <w:p>
      <w:pPr>
        <w:pStyle w:val="Normal"/>
        <w:spacing w:lineRule="auto" w:line="276"/>
        <w:rPr>
          <w:rFonts w:cs="Arial"/>
        </w:rPr>
      </w:pPr>
      <w:r>
        <w:rPr/>
      </w:r>
    </w:p>
    <w:p>
      <w:pPr>
        <w:pStyle w:val="Heading2"/>
        <w:rPr/>
      </w:pPr>
      <w:bookmarkStart w:id="8" w:name="_Toc475347814"/>
      <w:bookmarkEnd w:id="8"/>
      <w:r>
        <w:rPr/>
        <w:t>2.3 Gospodarenje otpadom</w:t>
      </w:r>
    </w:p>
    <w:p>
      <w:pPr>
        <w:pStyle w:val="Normal"/>
        <w:rPr/>
      </w:pPr>
      <w:r>
        <w:rPr/>
      </w:r>
    </w:p>
    <w:p>
      <w:pPr>
        <w:pStyle w:val="Normal"/>
        <w:spacing w:lineRule="auto" w:line="276" w:before="0" w:after="0"/>
        <w:rPr/>
      </w:pPr>
      <w:r>
        <w:rPr>
          <w:rFonts w:cs="Arial"/>
        </w:rPr>
        <w:t>Organiziranje odvoza k</w:t>
      </w:r>
      <w:r>
        <w:rPr>
          <w:rFonts w:cs="Arial"/>
        </w:rPr>
        <w:t>omunalnog</w:t>
      </w:r>
      <w:r>
        <w:rPr>
          <w:rFonts w:cs="Arial"/>
        </w:rPr>
        <w:t xml:space="preserve"> otpada vrši tvrtka Odlagalište d.o.o. društvo za upravljanjem odlagalištem komunalnog otpada Nova Gradiška. Postavljeni su zeleni otoci (kontejneri) za papir, staklo i plastiku u svim naseljima općine. </w:t>
      </w:r>
    </w:p>
    <w:p>
      <w:pPr>
        <w:pStyle w:val="Normal"/>
        <w:spacing w:lineRule="auto" w:line="276" w:before="0" w:after="0"/>
        <w:rPr/>
      </w:pPr>
      <w:r>
        <w:rPr>
          <w:rFonts w:cs="Arial"/>
        </w:rPr>
        <w:t xml:space="preserve">Dobro gospodarenje otpadom povoljno utječe na razvoj svih djelatnosti, naročito turizma i ekoturizma na ovim prostorima. Također, povoljno utječe na smanjenje onečišćenja prirodnih resursa (voda, zrak, tlo, a time ima i direktan pozitivan utjecaj na zdravlje stanovništva). </w:t>
      </w:r>
    </w:p>
    <w:p>
      <w:pPr>
        <w:pStyle w:val="Normal"/>
        <w:spacing w:lineRule="auto" w:line="276" w:before="0" w:after="0"/>
        <w:rPr/>
      </w:pPr>
      <w:r>
        <w:rPr>
          <w:rFonts w:cs="Arial"/>
          <w:color w:val="000000"/>
        </w:rPr>
        <w:t>Sav komunalni otpad tvrtka Odlagalište d.o.o. odvozi na odlagalište otpada Šagulje – Ivik na k.č. 826 k.o. Prvča.</w:t>
      </w:r>
    </w:p>
    <w:p>
      <w:pPr>
        <w:pStyle w:val="Normal"/>
        <w:spacing w:lineRule="auto" w:line="360" w:before="0" w:after="0"/>
        <w:rPr>
          <w:rFonts w:cs="Arial"/>
          <w:color w:val="000000"/>
        </w:rPr>
      </w:pPr>
      <w:r>
        <w:rPr>
          <w:rFonts w:cs="Arial"/>
          <w:color w:val="000000"/>
        </w:rPr>
      </w:r>
    </w:p>
    <w:p>
      <w:pPr>
        <w:pStyle w:val="Heading2"/>
        <w:rPr/>
      </w:pPr>
      <w:bookmarkStart w:id="9" w:name="_Toc475347815"/>
      <w:bookmarkEnd w:id="9"/>
      <w:r>
        <w:rPr/>
        <w:t>2.4 Sakupljanje komunalnog otpada</w:t>
      </w:r>
    </w:p>
    <w:p>
      <w:pPr>
        <w:pStyle w:val="Normal"/>
        <w:rPr/>
      </w:pPr>
      <w:r>
        <w:rPr/>
      </w:r>
    </w:p>
    <w:p>
      <w:pPr>
        <w:pStyle w:val="Normal"/>
        <w:spacing w:lineRule="auto" w:line="276"/>
        <w:rPr>
          <w:rFonts w:cs="Arial"/>
          <w:color w:val="000000"/>
        </w:rPr>
      </w:pPr>
      <w:r>
        <w:rPr>
          <w:rFonts w:cs="Arial"/>
          <w:color w:val="000000"/>
        </w:rPr>
        <w:t xml:space="preserve">Zakonom o održivom gospodarenju otpadom (u daljnjem tekstu: ZOGO, NN 94/13) </w:t>
      </w:r>
      <w:r>
        <w:rPr>
          <w:rFonts w:cs="Arial"/>
          <w:i/>
          <w:iCs/>
          <w:color w:val="000000"/>
        </w:rPr>
        <w:t>komunalni otpad</w:t>
      </w:r>
      <w:r>
        <w:rPr>
          <w:rFonts w:cs="Arial"/>
          <w:color w:val="000000"/>
        </w:rPr>
        <w:t xml:space="preserve"> se definira kao otpad nastao u kućanstvu i otpad koji je po prirodi i sastavu sličan otpadu iz kućanstava, a ne uključuje proizvodni  otpad i otpad iz poljoprivrede i šumarstva. </w:t>
      </w:r>
      <w:r>
        <w:rPr>
          <w:rFonts w:cs="Arial"/>
          <w:i/>
          <w:iCs/>
          <w:color w:val="000000"/>
        </w:rPr>
        <w:t>Miješani komunalni otpad</w:t>
      </w:r>
      <w:r>
        <w:rPr>
          <w:rFonts w:cs="Arial"/>
          <w:color w:val="000000"/>
        </w:rPr>
        <w:t xml:space="preserve"> je otpad iz kućanstva i otpad iz trgovina, industrije i iz ustanova koji je po svojstvima i sastavu sličan otpadu iz kućanstva, a iz kojeg posebnim postupkom nisu izdvojeni pojedini materijali (npr. papir, staklo i dr.), te je u Katalogu otpada (Pravilnik o katalogu otpada, NN 90/15) označen kao 20 03 01. </w:t>
      </w:r>
    </w:p>
    <w:p>
      <w:pPr>
        <w:pStyle w:val="Normal"/>
        <w:rPr/>
      </w:pPr>
      <w:r>
        <w:rPr>
          <w:rFonts w:cs="Arial"/>
          <w:color w:val="000000"/>
        </w:rPr>
        <w:t xml:space="preserve">Javna usluga prikupljanja komunalnog otpada u 2015. godini obuhvaćala je 100% stanovništva općine Dragalić. U pojedinim naseljima su domaćinstva koja </w:t>
      </w:r>
      <w:r>
        <w:rPr>
          <w:rFonts w:cs="Arial"/>
          <w:color w:val="000000"/>
        </w:rPr>
        <w:t>ne sudjeluju u</w:t>
      </w:r>
      <w:r>
        <w:rPr>
          <w:rFonts w:cs="Arial"/>
          <w:color w:val="000000"/>
        </w:rPr>
        <w:t xml:space="preserve"> sakupljanj</w:t>
      </w:r>
      <w:r>
        <w:rPr>
          <w:rFonts w:cs="Arial"/>
          <w:color w:val="000000"/>
        </w:rPr>
        <w:t>u</w:t>
      </w:r>
      <w:r>
        <w:rPr>
          <w:rFonts w:cs="Arial"/>
          <w:color w:val="000000"/>
        </w:rPr>
        <w:t xml:space="preserve"> komunalnog otpada. Iste je potrebno uputiti na zakonsku obvezu sakupljanja komunalnog otpada.</w:t>
      </w:r>
    </w:p>
    <w:p>
      <w:pPr>
        <w:pStyle w:val="Normal"/>
        <w:spacing w:lineRule="auto" w:line="276"/>
        <w:rPr/>
      </w:pPr>
      <w:r>
        <w:rPr>
          <w:rFonts w:cs="Arial"/>
          <w:color w:val="000000"/>
        </w:rPr>
        <w:t xml:space="preserve">Na području Općine Dragalić organizirano sakupljanje, odvoz i zbrinjavanje komunalnog i neopasnog proizvodnog otpada obavlja tvrtka Odlagalište d.o.o. iz Nove Gradiške. </w:t>
      </w:r>
      <w:r>
        <w:rPr>
          <w:rFonts w:cs="Arial"/>
        </w:rPr>
        <w:t xml:space="preserve">Organiziranim odvozom na području Općine Dragalić obuhvaćeno je </w:t>
      </w:r>
      <w:r>
        <w:rPr>
          <w:rFonts w:cs="Arial"/>
          <w:color w:val="000000"/>
        </w:rPr>
        <w:t>483 domačinstva</w:t>
      </w:r>
      <w:r>
        <w:rPr>
          <w:rFonts w:cs="Arial"/>
          <w:color w:val="000000"/>
        </w:rPr>
        <w:t>.</w:t>
      </w:r>
      <w:r>
        <w:rPr>
          <w:rFonts w:cs="Arial"/>
        </w:rPr>
        <w:t xml:space="preserve"> </w:t>
      </w:r>
      <w:r>
        <w:rPr>
          <w:rFonts w:cs="Arial"/>
          <w:color w:val="000000"/>
        </w:rPr>
        <w:t>Organizirano sakupljanje, odvoz i zbrinjavanje otpada obavlja se u sljedećim naseljima Općine Dragalić: Dragalić, Donji Bogičevci, Gorice, Mašić, Medari, Poljane.</w:t>
      </w:r>
    </w:p>
    <w:p>
      <w:pPr>
        <w:pStyle w:val="Normal"/>
        <w:spacing w:lineRule="auto" w:line="276"/>
        <w:rPr>
          <w:rFonts w:cs="Arial"/>
        </w:rPr>
      </w:pPr>
      <w:r>
        <w:rPr>
          <w:rFonts w:cs="Arial"/>
        </w:rPr>
      </w:r>
    </w:p>
    <w:p>
      <w:pPr>
        <w:pStyle w:val="Normal"/>
        <w:spacing w:lineRule="auto" w:line="360"/>
        <w:jc w:val="center"/>
        <w:rPr/>
      </w:pPr>
      <w:r>
        <w:rPr>
          <w:rFonts w:cs="Arial"/>
          <w:i/>
        </w:rPr>
        <w:t>Tablica 2.2 Količine sakupljenog komunalnog otpada općine Dragalić u 2016. godini</w:t>
      </w:r>
    </w:p>
    <w:p>
      <w:pPr>
        <w:pStyle w:val="Normal"/>
        <w:spacing w:lineRule="auto" w:line="360"/>
        <w:jc w:val="center"/>
        <w:rPr/>
      </w:pPr>
      <w:r>
        <w:rPr>
          <w:rFonts w:cs="Arial"/>
          <w:i/>
        </w:rPr>
        <w:t>(01.01.2016.-30.06.2016.)</w:t>
      </w:r>
    </w:p>
    <w:tbl>
      <w:tblPr>
        <w:tblStyle w:val="TableGrid"/>
        <w:tblW w:w="9012" w:type="dxa"/>
        <w:jc w:val="left"/>
        <w:tblInd w:w="152" w:type="dxa"/>
        <w:tblCellMar>
          <w:top w:w="0" w:type="dxa"/>
          <w:left w:w="88" w:type="dxa"/>
          <w:bottom w:w="0" w:type="dxa"/>
          <w:right w:w="108" w:type="dxa"/>
        </w:tblCellMar>
        <w:tblLook w:firstRow="1" w:noVBand="1" w:lastRow="0" w:firstColumn="1" w:lastColumn="0" w:noHBand="0" w:val="04a0"/>
      </w:tblPr>
      <w:tblGrid>
        <w:gridCol w:w="1896"/>
        <w:gridCol w:w="2304"/>
        <w:gridCol w:w="2412"/>
        <w:gridCol w:w="2400"/>
      </w:tblGrid>
      <w:tr>
        <w:trPr/>
        <w:tc>
          <w:tcPr>
            <w:tcW w:w="1896" w:type="dxa"/>
            <w:tcBorders/>
            <w:shd w:color="auto" w:fill="auto" w:val="pct15"/>
            <w:tcMar>
              <w:left w:w="88" w:type="dxa"/>
            </w:tcMar>
            <w:vAlign w:val="center"/>
          </w:tcPr>
          <w:p>
            <w:pPr>
              <w:pStyle w:val="Normal"/>
              <w:spacing w:lineRule="auto" w:line="240" w:before="0" w:after="0"/>
              <w:jc w:val="center"/>
              <w:rPr>
                <w:rFonts w:cs="Arial"/>
                <w:b/>
                <w:b/>
              </w:rPr>
            </w:pPr>
            <w:r>
              <w:rPr>
                <w:rFonts w:cs="Arial"/>
                <w:b/>
              </w:rPr>
            </w:r>
          </w:p>
          <w:p>
            <w:pPr>
              <w:pStyle w:val="Normal"/>
              <w:spacing w:lineRule="auto" w:line="240" w:before="0" w:after="0"/>
              <w:jc w:val="center"/>
              <w:rPr/>
            </w:pPr>
            <w:r>
              <w:rPr>
                <w:rFonts w:cs="Arial"/>
                <w:b/>
              </w:rPr>
              <w:t>Količina miješanog komunalnog otpada</w:t>
            </w:r>
          </w:p>
          <w:p>
            <w:pPr>
              <w:pStyle w:val="Normal"/>
              <w:spacing w:lineRule="auto" w:line="240" w:before="0" w:after="0"/>
              <w:jc w:val="center"/>
              <w:rPr/>
            </w:pPr>
            <w:r>
              <w:rPr>
                <w:rFonts w:cs="Arial"/>
                <w:b/>
              </w:rPr>
              <w:t>(t)</w:t>
            </w:r>
          </w:p>
          <w:p>
            <w:pPr>
              <w:pStyle w:val="Normal"/>
              <w:spacing w:lineRule="auto" w:line="240" w:before="0" w:after="0"/>
              <w:jc w:val="center"/>
              <w:rPr>
                <w:rFonts w:cs="Arial"/>
                <w:b/>
                <w:b/>
              </w:rPr>
            </w:pPr>
            <w:r>
              <w:rPr>
                <w:rFonts w:cs="Arial"/>
                <w:b/>
              </w:rPr>
            </w:r>
          </w:p>
        </w:tc>
        <w:tc>
          <w:tcPr>
            <w:tcW w:w="2304" w:type="dxa"/>
            <w:tcBorders/>
            <w:shd w:color="auto" w:fill="auto" w:val="pct15"/>
            <w:tcMar>
              <w:left w:w="88" w:type="dxa"/>
            </w:tcMar>
            <w:vAlign w:val="center"/>
          </w:tcPr>
          <w:p>
            <w:pPr>
              <w:pStyle w:val="Normal"/>
              <w:spacing w:lineRule="auto" w:line="240" w:before="0" w:after="0"/>
              <w:jc w:val="center"/>
              <w:rPr/>
            </w:pPr>
            <w:r>
              <w:rPr>
                <w:rFonts w:cs="Arial"/>
                <w:b/>
              </w:rPr>
              <w:t>Količina papira</w:t>
            </w:r>
          </w:p>
          <w:p>
            <w:pPr>
              <w:pStyle w:val="Normal"/>
              <w:spacing w:lineRule="auto" w:line="240" w:before="0" w:after="0"/>
              <w:jc w:val="center"/>
              <w:rPr/>
            </w:pPr>
            <w:r>
              <w:rPr>
                <w:rFonts w:cs="Arial"/>
                <w:b/>
              </w:rPr>
              <w:t>(t)</w:t>
            </w:r>
          </w:p>
        </w:tc>
        <w:tc>
          <w:tcPr>
            <w:tcW w:w="2412" w:type="dxa"/>
            <w:tcBorders>
              <w:left w:val="nil"/>
              <w:right w:val="nil"/>
              <w:insideV w:val="nil"/>
            </w:tcBorders>
            <w:shd w:color="auto" w:fill="auto" w:val="pct15"/>
            <w:tcMar>
              <w:left w:w="98" w:type="dxa"/>
            </w:tcMar>
            <w:vAlign w:val="center"/>
          </w:tcPr>
          <w:p>
            <w:pPr>
              <w:pStyle w:val="Normal"/>
              <w:spacing w:lineRule="auto" w:line="240" w:before="0" w:after="0"/>
              <w:jc w:val="center"/>
              <w:rPr/>
            </w:pPr>
            <w:r>
              <w:rPr>
                <w:rFonts w:cs="Arial"/>
                <w:b/>
              </w:rPr>
              <w:t>Količina plastike</w:t>
            </w:r>
          </w:p>
          <w:p>
            <w:pPr>
              <w:pStyle w:val="Normal"/>
              <w:spacing w:lineRule="auto" w:line="240" w:before="0" w:after="0"/>
              <w:jc w:val="center"/>
              <w:rPr/>
            </w:pPr>
            <w:r>
              <w:rPr>
                <w:rFonts w:cs="Arial"/>
                <w:b/>
              </w:rPr>
              <w:t>(t)</w:t>
            </w:r>
          </w:p>
        </w:tc>
        <w:tc>
          <w:tcPr>
            <w:tcW w:w="2400" w:type="dxa"/>
            <w:tcBorders/>
            <w:shd w:color="auto" w:fill="auto" w:val="pct15"/>
            <w:tcMar>
              <w:left w:w="88" w:type="dxa"/>
            </w:tcMar>
            <w:vAlign w:val="center"/>
          </w:tcPr>
          <w:p>
            <w:pPr>
              <w:pStyle w:val="Normal"/>
              <w:spacing w:lineRule="auto" w:line="240" w:before="0" w:after="0"/>
              <w:jc w:val="center"/>
              <w:rPr/>
            </w:pPr>
            <w:r>
              <w:rPr/>
              <w:t>Količina glomaznog otpada</w:t>
            </w:r>
          </w:p>
          <w:p>
            <w:pPr>
              <w:pStyle w:val="Normal"/>
              <w:spacing w:lineRule="auto" w:line="240" w:before="0" w:after="0"/>
              <w:jc w:val="center"/>
              <w:rPr/>
            </w:pPr>
            <w:r>
              <w:rPr/>
              <w:t>(t)</w:t>
            </w:r>
          </w:p>
        </w:tc>
      </w:tr>
      <w:tr>
        <w:trPr/>
        <w:tc>
          <w:tcPr>
            <w:tcW w:w="1896"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pPr>
            <w:r>
              <w:rPr>
                <w:rFonts w:cs="Arial"/>
              </w:rPr>
              <w:t>66,54</w:t>
            </w:r>
          </w:p>
          <w:p>
            <w:pPr>
              <w:pStyle w:val="Normal"/>
              <w:spacing w:lineRule="auto" w:line="240" w:before="0" w:after="0"/>
              <w:jc w:val="center"/>
              <w:rPr>
                <w:rFonts w:cs="Arial"/>
              </w:rPr>
            </w:pPr>
            <w:r>
              <w:rPr>
                <w:rFonts w:cs="Arial"/>
              </w:rPr>
            </w:r>
          </w:p>
        </w:tc>
        <w:tc>
          <w:tcPr>
            <w:tcW w:w="2304" w:type="dxa"/>
            <w:tcBorders/>
            <w:shd w:fill="auto" w:val="clear"/>
            <w:tcMar>
              <w:left w:w="88" w:type="dxa"/>
            </w:tcMar>
            <w:vAlign w:val="center"/>
          </w:tcPr>
          <w:p>
            <w:pPr>
              <w:pStyle w:val="Normal"/>
              <w:spacing w:lineRule="auto" w:line="240" w:before="0" w:after="0"/>
              <w:jc w:val="center"/>
              <w:rPr/>
            </w:pPr>
            <w:r>
              <w:rPr>
                <w:rFonts w:cs="Arial"/>
              </w:rPr>
              <w:t>1,3</w:t>
            </w:r>
          </w:p>
        </w:tc>
        <w:tc>
          <w:tcPr>
            <w:tcW w:w="2412" w:type="dxa"/>
            <w:tcBorders>
              <w:left w:val="nil"/>
              <w:right w:val="nil"/>
              <w:insideV w:val="nil"/>
            </w:tcBorders>
            <w:shd w:fill="auto" w:val="clear"/>
            <w:tcMar>
              <w:left w:w="98" w:type="dxa"/>
            </w:tcMar>
            <w:vAlign w:val="center"/>
          </w:tcPr>
          <w:p>
            <w:pPr>
              <w:pStyle w:val="Normal"/>
              <w:spacing w:lineRule="auto" w:line="240" w:before="0" w:after="0"/>
              <w:jc w:val="center"/>
              <w:rPr/>
            </w:pPr>
            <w:r>
              <w:rPr>
                <w:rFonts w:cs="Arial"/>
              </w:rPr>
              <w:t>0,85</w:t>
            </w:r>
          </w:p>
        </w:tc>
        <w:tc>
          <w:tcPr>
            <w:tcW w:w="2400" w:type="dxa"/>
            <w:tcBorders/>
            <w:shd w:fill="auto" w:val="clear"/>
            <w:tcMar>
              <w:left w:w="88" w:type="dxa"/>
            </w:tcMar>
            <w:vAlign w:val="center"/>
          </w:tcPr>
          <w:p>
            <w:pPr>
              <w:pStyle w:val="Normal"/>
              <w:spacing w:lineRule="auto" w:line="240" w:before="0" w:after="0"/>
              <w:jc w:val="center"/>
              <w:rPr/>
            </w:pPr>
            <w:r>
              <w:rPr/>
              <w:t>0,66</w:t>
            </w:r>
          </w:p>
        </w:tc>
      </w:tr>
    </w:tbl>
    <w:p>
      <w:pPr>
        <w:pStyle w:val="Normal"/>
        <w:spacing w:lineRule="auto" w:line="360"/>
        <w:rPr>
          <w:rFonts w:cs="Arial"/>
          <w:i/>
          <w:i/>
        </w:rPr>
      </w:pPr>
      <w:r>
        <w:rPr>
          <w:rFonts w:cs="Arial"/>
          <w:i/>
        </w:rPr>
      </w:r>
    </w:p>
    <w:p>
      <w:pPr>
        <w:pStyle w:val="Normal"/>
        <w:spacing w:lineRule="auto" w:line="360"/>
        <w:jc w:val="center"/>
        <w:rPr/>
      </w:pPr>
      <w:r>
        <w:rPr>
          <w:rFonts w:cs="Arial"/>
          <w:i/>
        </w:rPr>
        <w:t>Tablica 2.</w:t>
      </w:r>
      <w:r>
        <w:rPr>
          <w:rFonts w:cs="Arial"/>
          <w:i/>
        </w:rPr>
        <w:t>3</w:t>
      </w:r>
      <w:r>
        <w:rPr>
          <w:rFonts w:cs="Arial"/>
          <w:i/>
        </w:rPr>
        <w:t xml:space="preserve"> Količine sakupljenog komunalnog otpada općine Dragalić u 201</w:t>
      </w:r>
      <w:r>
        <w:rPr>
          <w:rFonts w:cs="Arial"/>
          <w:i/>
        </w:rPr>
        <w:t>5</w:t>
      </w:r>
      <w:r>
        <w:rPr>
          <w:rFonts w:cs="Arial"/>
          <w:i/>
        </w:rPr>
        <w:t>. godini</w:t>
      </w:r>
    </w:p>
    <w:tbl>
      <w:tblPr>
        <w:tblStyle w:val="TableGrid"/>
        <w:tblW w:w="9012" w:type="dxa"/>
        <w:jc w:val="left"/>
        <w:tblInd w:w="152" w:type="dxa"/>
        <w:tblCellMar>
          <w:top w:w="0" w:type="dxa"/>
          <w:left w:w="88" w:type="dxa"/>
          <w:bottom w:w="0" w:type="dxa"/>
          <w:right w:w="108" w:type="dxa"/>
        </w:tblCellMar>
        <w:tblLook w:firstRow="1" w:noVBand="1" w:lastRow="0" w:firstColumn="1" w:lastColumn="0" w:noHBand="0" w:val="04a0"/>
      </w:tblPr>
      <w:tblGrid>
        <w:gridCol w:w="1896"/>
        <w:gridCol w:w="2304"/>
        <w:gridCol w:w="2412"/>
        <w:gridCol w:w="2400"/>
      </w:tblGrid>
      <w:tr>
        <w:trPr/>
        <w:tc>
          <w:tcPr>
            <w:tcW w:w="1896" w:type="dxa"/>
            <w:tcBorders/>
            <w:shd w:color="auto" w:fill="auto" w:val="pct15"/>
            <w:tcMar>
              <w:left w:w="88" w:type="dxa"/>
            </w:tcMar>
            <w:vAlign w:val="center"/>
          </w:tcPr>
          <w:p>
            <w:pPr>
              <w:pStyle w:val="Normal"/>
              <w:spacing w:lineRule="auto" w:line="240" w:before="0" w:after="0"/>
              <w:jc w:val="center"/>
              <w:rPr>
                <w:rFonts w:cs="Arial"/>
                <w:b/>
                <w:b/>
              </w:rPr>
            </w:pPr>
            <w:r>
              <w:rPr>
                <w:rFonts w:cs="Arial"/>
                <w:b/>
              </w:rPr>
            </w:r>
          </w:p>
          <w:p>
            <w:pPr>
              <w:pStyle w:val="Normal"/>
              <w:spacing w:lineRule="auto" w:line="240" w:before="0" w:after="0"/>
              <w:jc w:val="center"/>
              <w:rPr/>
            </w:pPr>
            <w:r>
              <w:rPr>
                <w:rFonts w:cs="Arial"/>
                <w:b/>
              </w:rPr>
              <w:t>Količina miješanog komunalnog otpada</w:t>
            </w:r>
          </w:p>
          <w:p>
            <w:pPr>
              <w:pStyle w:val="Normal"/>
              <w:spacing w:lineRule="auto" w:line="240" w:before="0" w:after="0"/>
              <w:jc w:val="center"/>
              <w:rPr/>
            </w:pPr>
            <w:r>
              <w:rPr>
                <w:rFonts w:cs="Arial"/>
                <w:b/>
              </w:rPr>
              <w:t>(t)</w:t>
            </w:r>
          </w:p>
          <w:p>
            <w:pPr>
              <w:pStyle w:val="Normal"/>
              <w:spacing w:lineRule="auto" w:line="240" w:before="0" w:after="0"/>
              <w:jc w:val="center"/>
              <w:rPr>
                <w:rFonts w:cs="Arial"/>
                <w:b/>
                <w:b/>
              </w:rPr>
            </w:pPr>
            <w:r>
              <w:rPr>
                <w:rFonts w:cs="Arial"/>
                <w:b/>
              </w:rPr>
            </w:r>
          </w:p>
        </w:tc>
        <w:tc>
          <w:tcPr>
            <w:tcW w:w="2304" w:type="dxa"/>
            <w:tcBorders/>
            <w:shd w:color="auto" w:fill="auto" w:val="pct15"/>
            <w:tcMar>
              <w:left w:w="88" w:type="dxa"/>
            </w:tcMar>
            <w:vAlign w:val="center"/>
          </w:tcPr>
          <w:p>
            <w:pPr>
              <w:pStyle w:val="Normal"/>
              <w:spacing w:lineRule="auto" w:line="240" w:before="0" w:after="0"/>
              <w:jc w:val="center"/>
              <w:rPr/>
            </w:pPr>
            <w:r>
              <w:rPr>
                <w:rFonts w:cs="Arial"/>
                <w:b/>
              </w:rPr>
              <w:t>Količina papira</w:t>
            </w:r>
          </w:p>
          <w:p>
            <w:pPr>
              <w:pStyle w:val="Normal"/>
              <w:spacing w:lineRule="auto" w:line="240" w:before="0" w:after="0"/>
              <w:jc w:val="center"/>
              <w:rPr/>
            </w:pPr>
            <w:r>
              <w:rPr>
                <w:rFonts w:cs="Arial"/>
                <w:b/>
              </w:rPr>
              <w:t>(t)</w:t>
            </w:r>
          </w:p>
        </w:tc>
        <w:tc>
          <w:tcPr>
            <w:tcW w:w="2412" w:type="dxa"/>
            <w:tcBorders>
              <w:left w:val="nil"/>
              <w:right w:val="nil"/>
              <w:insideV w:val="nil"/>
            </w:tcBorders>
            <w:shd w:color="auto" w:fill="auto" w:val="pct15"/>
            <w:tcMar>
              <w:left w:w="98" w:type="dxa"/>
            </w:tcMar>
            <w:vAlign w:val="center"/>
          </w:tcPr>
          <w:p>
            <w:pPr>
              <w:pStyle w:val="Normal"/>
              <w:spacing w:lineRule="auto" w:line="240" w:before="0" w:after="0"/>
              <w:jc w:val="center"/>
              <w:rPr/>
            </w:pPr>
            <w:r>
              <w:rPr>
                <w:rFonts w:cs="Arial"/>
                <w:b/>
              </w:rPr>
              <w:t>Količina plastike</w:t>
            </w:r>
          </w:p>
          <w:p>
            <w:pPr>
              <w:pStyle w:val="Normal"/>
              <w:spacing w:lineRule="auto" w:line="240" w:before="0" w:after="0"/>
              <w:jc w:val="center"/>
              <w:rPr/>
            </w:pPr>
            <w:r>
              <w:rPr>
                <w:rFonts w:cs="Arial"/>
                <w:b/>
              </w:rPr>
              <w:t>(t)</w:t>
            </w:r>
          </w:p>
        </w:tc>
        <w:tc>
          <w:tcPr>
            <w:tcW w:w="2400" w:type="dxa"/>
            <w:tcBorders/>
            <w:shd w:color="auto" w:fill="auto" w:val="pct15"/>
            <w:tcMar>
              <w:left w:w="88" w:type="dxa"/>
            </w:tcMar>
            <w:vAlign w:val="center"/>
          </w:tcPr>
          <w:p>
            <w:pPr>
              <w:pStyle w:val="Normal"/>
              <w:spacing w:lineRule="auto" w:line="240" w:before="0" w:after="0"/>
              <w:jc w:val="center"/>
              <w:rPr/>
            </w:pPr>
            <w:r>
              <w:rPr/>
              <w:t>Količina glomaznog otpada</w:t>
            </w:r>
          </w:p>
          <w:p>
            <w:pPr>
              <w:pStyle w:val="Normal"/>
              <w:spacing w:lineRule="auto" w:line="240" w:before="0" w:after="0"/>
              <w:jc w:val="center"/>
              <w:rPr/>
            </w:pPr>
            <w:r>
              <w:rPr/>
              <w:t>(t)</w:t>
            </w:r>
          </w:p>
        </w:tc>
      </w:tr>
      <w:tr>
        <w:trPr/>
        <w:tc>
          <w:tcPr>
            <w:tcW w:w="1896"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pPr>
            <w:r>
              <w:rPr>
                <w:rFonts w:cs="Arial"/>
              </w:rPr>
              <w:t>121,24</w:t>
            </w:r>
          </w:p>
          <w:p>
            <w:pPr>
              <w:pStyle w:val="Normal"/>
              <w:spacing w:lineRule="auto" w:line="240" w:before="0" w:after="0"/>
              <w:jc w:val="center"/>
              <w:rPr>
                <w:rFonts w:cs="Arial"/>
              </w:rPr>
            </w:pPr>
            <w:r>
              <w:rPr>
                <w:rFonts w:cs="Arial"/>
              </w:rPr>
            </w:r>
          </w:p>
        </w:tc>
        <w:tc>
          <w:tcPr>
            <w:tcW w:w="2304" w:type="dxa"/>
            <w:tcBorders/>
            <w:shd w:fill="auto" w:val="clear"/>
            <w:tcMar>
              <w:left w:w="88" w:type="dxa"/>
            </w:tcMar>
            <w:vAlign w:val="center"/>
          </w:tcPr>
          <w:p>
            <w:pPr>
              <w:pStyle w:val="Normal"/>
              <w:spacing w:lineRule="auto" w:line="240" w:before="0" w:after="0"/>
              <w:jc w:val="center"/>
              <w:rPr/>
            </w:pPr>
            <w:r>
              <w:rPr>
                <w:rFonts w:cs="Arial"/>
              </w:rPr>
              <w:t>/</w:t>
            </w:r>
          </w:p>
        </w:tc>
        <w:tc>
          <w:tcPr>
            <w:tcW w:w="2412" w:type="dxa"/>
            <w:tcBorders>
              <w:left w:val="nil"/>
              <w:right w:val="nil"/>
              <w:insideV w:val="nil"/>
            </w:tcBorders>
            <w:shd w:fill="auto" w:val="clear"/>
            <w:tcMar>
              <w:left w:w="98" w:type="dxa"/>
            </w:tcMar>
            <w:vAlign w:val="center"/>
          </w:tcPr>
          <w:p>
            <w:pPr>
              <w:pStyle w:val="Normal"/>
              <w:spacing w:lineRule="auto" w:line="240" w:before="0" w:after="0"/>
              <w:jc w:val="center"/>
              <w:rPr/>
            </w:pPr>
            <w:r>
              <w:rPr>
                <w:rFonts w:cs="Arial"/>
              </w:rPr>
              <w:t>/</w:t>
            </w:r>
          </w:p>
        </w:tc>
        <w:tc>
          <w:tcPr>
            <w:tcW w:w="2400" w:type="dxa"/>
            <w:tcBorders/>
            <w:shd w:fill="auto" w:val="clear"/>
            <w:tcMar>
              <w:left w:w="88" w:type="dxa"/>
            </w:tcMar>
            <w:vAlign w:val="center"/>
          </w:tcPr>
          <w:p>
            <w:pPr>
              <w:pStyle w:val="Normal"/>
              <w:spacing w:lineRule="auto" w:line="240" w:before="0" w:after="0"/>
              <w:jc w:val="center"/>
              <w:rPr/>
            </w:pPr>
            <w:r>
              <w:rPr/>
              <w:t>/</w:t>
            </w:r>
          </w:p>
        </w:tc>
      </w:tr>
    </w:tbl>
    <w:p>
      <w:pPr>
        <w:pStyle w:val="Normal"/>
        <w:spacing w:lineRule="auto" w:line="276"/>
        <w:rPr>
          <w:rFonts w:cs="Arial"/>
          <w:color w:val="000000"/>
        </w:rPr>
      </w:pPr>
      <w:r>
        <w:rPr/>
      </w:r>
    </w:p>
    <w:p>
      <w:pPr>
        <w:pStyle w:val="Normal"/>
        <w:spacing w:lineRule="auto" w:line="276"/>
        <w:rPr/>
      </w:pPr>
      <w:r>
        <w:rPr>
          <w:rFonts w:cs="Arial"/>
          <w:color w:val="000000"/>
        </w:rPr>
        <w:t xml:space="preserve">Ukupna količina proizvedenog komunalnog otpada u 2015. godini iznosila je 121,240 tona, odnosno 89 kilograma po stanovniku. </w:t>
      </w:r>
    </w:p>
    <w:p>
      <w:pPr>
        <w:pStyle w:val="Normal"/>
        <w:spacing w:lineRule="auto" w:line="276" w:before="0" w:after="160"/>
        <w:rPr>
          <w:rFonts w:eastAsia="Times New Roman" w:cs="Arial"/>
          <w:color w:val="000000"/>
        </w:rPr>
      </w:pPr>
      <w:r>
        <w:rPr>
          <w:rFonts w:eastAsia="Times New Roman" w:cs="Arial"/>
          <w:color w:val="000000"/>
        </w:rPr>
        <w:t xml:space="preserve">Odvojeno sakupljanje pojedinih vrsta komunalnog otpada (papir, staklo, plastika) provodi se sakupljanjem putem spremnika na javnim površinama, zelenih otoka, te putem uspostavljenih nacionalnih shema za posebne kategorije otpada (ambalaža, EE, gume, automobili). </w:t>
      </w:r>
    </w:p>
    <w:p>
      <w:pPr>
        <w:pStyle w:val="Normal"/>
        <w:spacing w:lineRule="auto" w:line="276"/>
        <w:rPr/>
      </w:pPr>
      <w:r>
        <w:rPr>
          <w:rFonts w:cs="Arial"/>
          <w:color w:val="000000"/>
        </w:rPr>
        <w:t>Odvojeno sakupljanje korisnih vrsta otpada iz komunalnog otpada organizirano od strane Općine Dragalić provodilo se tijekom 2016. godine u svim naseljima Općine.</w:t>
      </w:r>
    </w:p>
    <w:p>
      <w:pPr>
        <w:pStyle w:val="Normal"/>
        <w:spacing w:lineRule="auto" w:line="276"/>
        <w:rPr/>
      </w:pPr>
      <w:r>
        <w:rPr/>
      </w:r>
    </w:p>
    <w:p>
      <w:pPr>
        <w:pStyle w:val="Heading2"/>
        <w:rPr/>
      </w:pPr>
      <w:bookmarkStart w:id="10" w:name="_Toc475347816"/>
      <w:bookmarkEnd w:id="10"/>
      <w:r>
        <w:rPr/>
        <w:t>2.5 Biorazgradivi otpad</w:t>
      </w:r>
    </w:p>
    <w:p>
      <w:pPr>
        <w:pStyle w:val="Normal"/>
        <w:rPr/>
      </w:pPr>
      <w:r>
        <w:rPr/>
      </w:r>
    </w:p>
    <w:p>
      <w:pPr>
        <w:pStyle w:val="Normal"/>
        <w:spacing w:lineRule="auto" w:line="276"/>
        <w:rPr/>
      </w:pPr>
      <w:r>
        <w:rPr>
          <w:rFonts w:cs="Arial"/>
        </w:rPr>
        <w:t xml:space="preserve">U svega 17% JLS se provodi odvojeno sakupljanja biootpada. Uglavnom je riječ o biorazgradivom otpadu iz vrtova i parkova sa javnih površina. Količine odvojeno sakupljenog biootpada iz kućanstava su zanemarive. Najzastupljeniji način gospodarenja ovom vrstom otpada još uvijek je odlaganje.  </w:t>
      </w:r>
    </w:p>
    <w:p>
      <w:pPr>
        <w:pStyle w:val="Normal"/>
        <w:spacing w:lineRule="auto" w:line="276"/>
        <w:rPr>
          <w:rFonts w:cs="Arial"/>
        </w:rPr>
      </w:pPr>
      <w:r>
        <w:rPr>
          <w:rFonts w:cs="Arial"/>
        </w:rPr>
        <w:t xml:space="preserve">Iako ZOGO propisuje obvezu JLS da u dokumentima koje donose temeljem ZOGO-a (planovi gospodarenja otpadom JLS, odluke o načinu pružanja javnih usluga prikupljanja otpada te odluke o dodjeli obavljanja javne usluge prikupljanja komunalnog otpada) osigura odvojeno prikupljanje otpada učinci ove mjere u pogledu biootpada na nacionalnoj razini su vrlo mali.  </w:t>
      </w:r>
    </w:p>
    <w:p>
      <w:pPr>
        <w:pStyle w:val="Normal"/>
        <w:spacing w:lineRule="auto" w:line="276"/>
        <w:rPr>
          <w:rFonts w:cs="Arial"/>
        </w:rPr>
      </w:pPr>
      <w:r>
        <w:rPr>
          <w:rFonts w:cs="Arial"/>
        </w:rPr>
        <w:t xml:space="preserve">Uzevši u obzir nacionalni cilj u vezi s odlaganjem biorazgradivog otpada, kapaciteti za obradu biootpada, na svim razinama (kućanstva, lokalno i nacionalno) nisu zadovoljavajući. Sustav odvojenog  sakupljanja biootpada u većini JLS-a je nedostatno razvijen. </w:t>
      </w:r>
    </w:p>
    <w:p>
      <w:pPr>
        <w:pStyle w:val="Normal"/>
        <w:spacing w:lineRule="auto" w:line="276"/>
        <w:rPr>
          <w:rFonts w:cs="Arial"/>
          <w:color w:val="000000"/>
        </w:rPr>
      </w:pPr>
      <w:r>
        <w:rPr>
          <w:rFonts w:cs="Arial"/>
          <w:color w:val="000000"/>
        </w:rPr>
        <w:t xml:space="preserve">Biorazgradivi komunalni otpad obuhvaća biološki razgradive vrste otpada podrijetlom iz kućanstva i otpad koji je po prirodi i sastavu sličan otpadu iz kućanstva, primjerice otpadni papir, biorazgradivi tekstil, zeleni otpad od održavanja javnih površina i sl., osim  proizvodnog otpada i otpada iz poljoprivrede i šumarstva. </w:t>
      </w:r>
    </w:p>
    <w:p>
      <w:pPr>
        <w:pStyle w:val="Normal"/>
        <w:spacing w:lineRule="auto" w:line="276"/>
        <w:rPr/>
      </w:pPr>
      <w:r>
        <w:rPr>
          <w:rFonts w:cs="Arial"/>
          <w:color w:val="000000"/>
        </w:rPr>
        <w:t>Zahtjev za smanjenje biorazgradivog otpada na odlagalištu proveden je kroz odvojeno sakupljanje papira u domaćinstvima, gospodarstvu i zelenim otocima te kroz nabavu kontejnera na zelenim otocima za područje Općine Dragalić u 2016. godini.</w:t>
      </w:r>
    </w:p>
    <w:p>
      <w:pPr>
        <w:pStyle w:val="Normal"/>
        <w:spacing w:lineRule="auto" w:line="276"/>
        <w:rPr/>
      </w:pPr>
      <w:r>
        <w:rPr>
          <w:rFonts w:cs="Arial"/>
          <w:color w:val="000000"/>
        </w:rPr>
        <w:t>U Općini Dragalić nije u potpunosti omogućeno odvojeno sakupljanje biorazgradivog komunalnog otpada. Za kvalitetnije izdvajanje potrebno je osigurati izdvajanje biorazgradivog otpada na pragu. U tu svrhu potrebno je kućanstvima podijeliti kompostere, te postaviti mobilno reciklažno dvorište.</w:t>
      </w:r>
    </w:p>
    <w:p>
      <w:pPr>
        <w:pStyle w:val="Normal"/>
        <w:rPr/>
      </w:pPr>
      <w:r>
        <w:rPr/>
      </w:r>
    </w:p>
    <w:p>
      <w:pPr>
        <w:pStyle w:val="Normal"/>
        <w:rPr/>
      </w:pPr>
      <w:r>
        <w:rPr/>
      </w:r>
    </w:p>
    <w:p>
      <w:pPr>
        <w:pStyle w:val="Heading2"/>
        <w:rPr/>
      </w:pPr>
      <w:bookmarkStart w:id="11" w:name="_Toc475347817"/>
      <w:bookmarkEnd w:id="11"/>
      <w:r>
        <w:rPr/>
        <w:t>2.6 Glomazni otpad</w:t>
      </w:r>
    </w:p>
    <w:p>
      <w:pPr>
        <w:pStyle w:val="Normal"/>
        <w:rPr/>
      </w:pPr>
      <w:r>
        <w:rPr/>
      </w:r>
    </w:p>
    <w:p>
      <w:pPr>
        <w:pStyle w:val="Normal"/>
        <w:spacing w:lineRule="auto" w:line="276"/>
        <w:rPr/>
      </w:pPr>
      <w:r>
        <w:rPr>
          <w:rFonts w:cs="Arial"/>
          <w:color w:val="000000"/>
        </w:rPr>
        <w:t xml:space="preserve">Krupni ili glomazni komunalni otpad je predmet ili </w:t>
      </w:r>
      <w:r>
        <w:rPr>
          <w:rFonts w:cs="Arial"/>
          <w:color w:val="000000"/>
        </w:rPr>
        <w:t>s</w:t>
      </w:r>
      <w:r>
        <w:rPr>
          <w:rFonts w:cs="Arial"/>
          <w:color w:val="000000"/>
        </w:rPr>
        <w:t>tvar koju je zbog zapremine i/ili mase neprikladno prikupljati u sklopu usluge prikupljanja miješanog komunalnog otpada. Sakupljanje glomaznog otpada na području Općine Dragalić obavlja tvrtka Odlagalište d.o.o., Nova Gradiška,  prema utvrđenom godišnjem kalendaru.</w:t>
      </w:r>
    </w:p>
    <w:p>
      <w:pPr>
        <w:pStyle w:val="Normal"/>
        <w:spacing w:lineRule="auto" w:line="276"/>
        <w:rPr/>
      </w:pPr>
      <w:r>
        <w:rPr>
          <w:rFonts w:cs="Arial"/>
          <w:color w:val="000000"/>
        </w:rPr>
        <w:t>U periodu 01.01.2016. do 30.06.2016. odvojeno je prikupljeno od strane sakupljača komunalnog otpada 660 kg glomaznog otpada.</w:t>
      </w:r>
    </w:p>
    <w:p>
      <w:pPr>
        <w:pStyle w:val="Normal"/>
        <w:spacing w:lineRule="auto" w:line="360"/>
        <w:rPr>
          <w:rFonts w:cs="Arial"/>
          <w:color w:val="000000"/>
        </w:rPr>
      </w:pPr>
      <w:r>
        <w:rPr>
          <w:rFonts w:cs="Arial"/>
          <w:color w:val="000000"/>
        </w:rPr>
      </w:r>
    </w:p>
    <w:p>
      <w:pPr>
        <w:pStyle w:val="Heading2"/>
        <w:rPr/>
      </w:pPr>
      <w:bookmarkStart w:id="12" w:name="_Toc475347818"/>
      <w:bookmarkEnd w:id="12"/>
      <w:r>
        <w:rPr/>
        <w:t>2.7 Otpadni tekstil i obuća</w:t>
      </w:r>
    </w:p>
    <w:p>
      <w:pPr>
        <w:pStyle w:val="Normal"/>
        <w:rPr/>
      </w:pPr>
      <w:r>
        <w:rPr/>
      </w:r>
    </w:p>
    <w:p>
      <w:pPr>
        <w:pStyle w:val="Normal"/>
        <w:spacing w:lineRule="auto" w:line="276"/>
        <w:rPr>
          <w:rFonts w:cs="Arial"/>
        </w:rPr>
      </w:pPr>
      <w:r>
        <w:rPr>
          <w:rFonts w:cs="Arial"/>
        </w:rPr>
        <w:t>Količine otpadnog tekstila koji se odvojeno sakupi ili je izdvojen iz komunalnog otpada su relativno male. Neki od uzroka tome su što je tek nedavno donesen posebni propis koji uređuje gospodarenje ovom vrstom otpada  (Pravilnik o gospodarenju otpadnim tekstilom i otpadnom obućom (NN 99/15)),  tako da nije moguće sa sigurnošću utvrditi učinke uređenja sustava. Procjenjuje se da se i dalje visoki postotak otpadnog tekstila zbrinjava postupkom odlaganja, posebice onaj koji je sadržan u miješanom komunalnom otpadu. Odvojeno sakupljeni otpadni tekstil se izvozi ili reciklira u tvornici u Zaboku, kapaciteta oko 8.000 t godišnje. Sustav gospodarenja otpadnim tekstilom nije dostatno razvijen.</w:t>
      </w:r>
    </w:p>
    <w:p>
      <w:pPr>
        <w:pStyle w:val="Normal"/>
        <w:spacing w:lineRule="auto" w:line="276"/>
        <w:rPr>
          <w:rFonts w:cs="Arial"/>
        </w:rPr>
      </w:pPr>
      <w:r>
        <w:rPr>
          <w:rFonts w:cs="Arial"/>
        </w:rPr>
      </w:r>
    </w:p>
    <w:p>
      <w:pPr>
        <w:pStyle w:val="Normal"/>
        <w:spacing w:lineRule="auto" w:line="360"/>
        <w:jc w:val="center"/>
        <w:rPr/>
      </w:pPr>
      <w:r>
        <w:rPr>
          <w:rFonts w:cs="Arial"/>
          <w:i/>
        </w:rPr>
        <w:t>Tablica 2.4 Broj i mjesta posuda za sakupljanje tekstila i obuće u Općini Dragalić</w:t>
      </w:r>
    </w:p>
    <w:tbl>
      <w:tblPr>
        <w:tblStyle w:val="TableGrid"/>
        <w:tblW w:w="9288" w:type="dxa"/>
        <w:jc w:val="left"/>
        <w:tblInd w:w="-20" w:type="dxa"/>
        <w:tblCellMar>
          <w:top w:w="0" w:type="dxa"/>
          <w:left w:w="88" w:type="dxa"/>
          <w:bottom w:w="0" w:type="dxa"/>
          <w:right w:w="108" w:type="dxa"/>
        </w:tblCellMar>
        <w:tblLook w:firstRow="1" w:noVBand="1" w:lastRow="0" w:firstColumn="1" w:lastColumn="0" w:noHBand="0" w:val="04a0"/>
      </w:tblPr>
      <w:tblGrid>
        <w:gridCol w:w="3096"/>
        <w:gridCol w:w="3096"/>
        <w:gridCol w:w="3096"/>
      </w:tblGrid>
      <w:tr>
        <w:trPr/>
        <w:tc>
          <w:tcPr>
            <w:tcW w:w="3096" w:type="dxa"/>
            <w:tcBorders/>
            <w:shd w:color="auto" w:fill="auto" w:val="pct15"/>
            <w:tcMar>
              <w:left w:w="88" w:type="dxa"/>
            </w:tcMar>
            <w:vAlign w:val="center"/>
          </w:tcPr>
          <w:p>
            <w:pPr>
              <w:pStyle w:val="Normal"/>
              <w:spacing w:lineRule="auto" w:line="240" w:before="0" w:after="0"/>
              <w:jc w:val="center"/>
              <w:rPr>
                <w:rFonts w:cs="Arial"/>
                <w:b/>
                <w:b/>
              </w:rPr>
            </w:pPr>
            <w:r>
              <w:rPr>
                <w:rFonts w:cs="Arial"/>
                <w:b/>
              </w:rPr>
            </w:r>
          </w:p>
          <w:p>
            <w:pPr>
              <w:pStyle w:val="Normal"/>
              <w:spacing w:lineRule="auto" w:line="240" w:before="0" w:after="0"/>
              <w:jc w:val="center"/>
              <w:rPr>
                <w:rFonts w:cs="Arial"/>
                <w:b/>
                <w:b/>
              </w:rPr>
            </w:pPr>
            <w:r>
              <w:rPr>
                <w:rFonts w:cs="Arial"/>
                <w:b/>
              </w:rPr>
              <w:t>Adresa</w:t>
            </w:r>
          </w:p>
          <w:p>
            <w:pPr>
              <w:pStyle w:val="Normal"/>
              <w:spacing w:lineRule="auto" w:line="240" w:before="0" w:after="0"/>
              <w:jc w:val="center"/>
              <w:rPr>
                <w:rFonts w:cs="Arial"/>
                <w:b/>
                <w:b/>
              </w:rPr>
            </w:pPr>
            <w:r>
              <w:rPr>
                <w:rFonts w:cs="Arial"/>
                <w:b/>
              </w:rPr>
            </w:r>
          </w:p>
        </w:tc>
        <w:tc>
          <w:tcPr>
            <w:tcW w:w="3096" w:type="dxa"/>
            <w:tcBorders/>
            <w:shd w:color="auto" w:fill="auto" w:val="pct15"/>
            <w:tcMar>
              <w:left w:w="88" w:type="dxa"/>
            </w:tcMar>
            <w:vAlign w:val="center"/>
          </w:tcPr>
          <w:p>
            <w:pPr>
              <w:pStyle w:val="Normal"/>
              <w:spacing w:lineRule="auto" w:line="240" w:before="0" w:after="0"/>
              <w:jc w:val="center"/>
              <w:rPr>
                <w:rFonts w:cs="Arial"/>
                <w:b/>
                <w:b/>
              </w:rPr>
            </w:pPr>
            <w:r>
              <w:rPr>
                <w:rFonts w:cs="Arial"/>
                <w:b/>
              </w:rPr>
              <w:t>Postavljeno (broj)</w:t>
            </w:r>
          </w:p>
        </w:tc>
        <w:tc>
          <w:tcPr>
            <w:tcW w:w="3096" w:type="dxa"/>
            <w:tcBorders/>
            <w:shd w:color="auto" w:fill="auto" w:val="pct15"/>
            <w:tcMar>
              <w:left w:w="88" w:type="dxa"/>
            </w:tcMar>
            <w:vAlign w:val="center"/>
          </w:tcPr>
          <w:p>
            <w:pPr>
              <w:pStyle w:val="Normal"/>
              <w:spacing w:lineRule="auto" w:line="240" w:before="0" w:after="0"/>
              <w:jc w:val="center"/>
              <w:rPr>
                <w:rFonts w:cs="Arial"/>
                <w:b/>
                <w:b/>
              </w:rPr>
            </w:pPr>
            <w:r>
              <w:rPr>
                <w:rFonts w:cs="Arial"/>
                <w:b/>
              </w:rPr>
              <w:t>Planirano (broj)</w:t>
            </w:r>
          </w:p>
        </w:tc>
      </w:tr>
      <w:tr>
        <w:trPr/>
        <w:tc>
          <w:tcPr>
            <w:tcW w:w="3096"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pPr>
            <w:r>
              <w:rPr>
                <w:rFonts w:cs="Arial"/>
              </w:rPr>
              <w:t>Mobilno reciklažno dvorište u Dragaliću</w:t>
            </w:r>
          </w:p>
          <w:p>
            <w:pPr>
              <w:pStyle w:val="Normal"/>
              <w:spacing w:lineRule="auto" w:line="240" w:before="0" w:after="0"/>
              <w:jc w:val="center"/>
              <w:rPr>
                <w:rFonts w:cs="Arial"/>
              </w:rPr>
            </w:pPr>
            <w:r>
              <w:rPr>
                <w:rFonts w:cs="Arial"/>
              </w:rPr>
            </w:r>
          </w:p>
        </w:tc>
        <w:tc>
          <w:tcPr>
            <w:tcW w:w="3096" w:type="dxa"/>
            <w:tcBorders/>
            <w:shd w:fill="auto" w:val="clear"/>
            <w:tcMar>
              <w:left w:w="88" w:type="dxa"/>
            </w:tcMar>
            <w:vAlign w:val="center"/>
          </w:tcPr>
          <w:p>
            <w:pPr>
              <w:pStyle w:val="Normal"/>
              <w:spacing w:lineRule="auto" w:line="240" w:before="0" w:after="0"/>
              <w:jc w:val="center"/>
              <w:rPr>
                <w:rFonts w:cs="Arial"/>
              </w:rPr>
            </w:pPr>
            <w:r>
              <w:rPr>
                <w:rFonts w:cs="Arial"/>
              </w:rPr>
              <w:t>0</w:t>
            </w:r>
          </w:p>
        </w:tc>
        <w:tc>
          <w:tcPr>
            <w:tcW w:w="3096" w:type="dxa"/>
            <w:tcBorders/>
            <w:shd w:fill="auto" w:val="clear"/>
            <w:tcMar>
              <w:left w:w="88" w:type="dxa"/>
            </w:tcMar>
            <w:vAlign w:val="center"/>
          </w:tcPr>
          <w:p>
            <w:pPr>
              <w:pStyle w:val="Normal"/>
              <w:spacing w:lineRule="auto" w:line="240" w:before="0" w:after="0"/>
              <w:jc w:val="center"/>
              <w:rPr>
                <w:rFonts w:cs="Arial"/>
              </w:rPr>
            </w:pPr>
            <w:r>
              <w:rPr>
                <w:rFonts w:cs="Arial"/>
              </w:rPr>
              <w:t>1</w:t>
            </w:r>
          </w:p>
        </w:tc>
      </w:tr>
      <w:tr>
        <w:trPr/>
        <w:tc>
          <w:tcPr>
            <w:tcW w:w="3096" w:type="dxa"/>
            <w:tcBorders>
              <w:top w:val="nil"/>
            </w:tcBorders>
            <w:shd w:fill="auto" w:val="clear"/>
            <w:tcMar>
              <w:left w:w="88" w:type="dxa"/>
            </w:tcMar>
            <w:vAlign w:val="center"/>
          </w:tcPr>
          <w:p>
            <w:pPr>
              <w:pStyle w:val="Normal"/>
              <w:spacing w:lineRule="auto" w:line="240" w:before="0" w:after="0"/>
              <w:jc w:val="center"/>
              <w:rPr>
                <w:rFonts w:cs="Arial"/>
              </w:rPr>
            </w:pPr>
            <w:r>
              <w:rPr>
                <w:rFonts w:cs="Arial"/>
              </w:rPr>
              <w:t>Zeleni otoci</w:t>
            </w:r>
          </w:p>
        </w:tc>
        <w:tc>
          <w:tcPr>
            <w:tcW w:w="3096" w:type="dxa"/>
            <w:tcBorders>
              <w:top w:val="nil"/>
            </w:tcBorders>
            <w:shd w:fill="auto" w:val="clear"/>
            <w:tcMar>
              <w:left w:w="88" w:type="dxa"/>
            </w:tcMar>
            <w:vAlign w:val="center"/>
          </w:tcPr>
          <w:p>
            <w:pPr>
              <w:pStyle w:val="Normal"/>
              <w:spacing w:lineRule="auto" w:line="240" w:before="0" w:after="0"/>
              <w:jc w:val="center"/>
              <w:rPr/>
            </w:pPr>
            <w:r>
              <w:rPr/>
              <w:t>0</w:t>
            </w:r>
          </w:p>
        </w:tc>
        <w:tc>
          <w:tcPr>
            <w:tcW w:w="3096" w:type="dxa"/>
            <w:tcBorders>
              <w:top w:val="nil"/>
            </w:tcBorders>
            <w:shd w:fill="auto" w:val="clear"/>
            <w:tcMar>
              <w:left w:w="88" w:type="dxa"/>
            </w:tcMar>
            <w:vAlign w:val="center"/>
          </w:tcPr>
          <w:p>
            <w:pPr>
              <w:pStyle w:val="Normal"/>
              <w:spacing w:lineRule="auto" w:line="240" w:before="0" w:after="0"/>
              <w:jc w:val="center"/>
              <w:rPr/>
            </w:pPr>
            <w:r>
              <w:rPr/>
              <w:t>1</w:t>
            </w:r>
          </w:p>
          <w:p>
            <w:pPr>
              <w:pStyle w:val="Normal"/>
              <w:spacing w:lineRule="auto" w:line="240" w:before="0" w:after="0"/>
              <w:jc w:val="center"/>
              <w:rPr/>
            </w:pPr>
            <w:r>
              <w:rPr/>
            </w:r>
          </w:p>
        </w:tc>
      </w:tr>
    </w:tbl>
    <w:p>
      <w:pPr>
        <w:pStyle w:val="Normal"/>
        <w:spacing w:lineRule="auto" w:line="360"/>
        <w:jc w:val="center"/>
        <w:rPr>
          <w:rFonts w:cs="Arial"/>
        </w:rPr>
      </w:pPr>
      <w:r>
        <w:rPr>
          <w:rFonts w:cs="Arial"/>
        </w:rPr>
      </w:r>
    </w:p>
    <w:p>
      <w:pPr>
        <w:pStyle w:val="Normal"/>
        <w:spacing w:lineRule="auto" w:line="360"/>
        <w:rPr/>
      </w:pPr>
      <w:r>
        <w:rPr>
          <w:rFonts w:cs="Arial"/>
          <w:color w:val="000000"/>
        </w:rPr>
        <w:t xml:space="preserve">U Općini Dragalić </w:t>
      </w:r>
      <w:r>
        <w:rPr>
          <w:rFonts w:cs="Arial"/>
          <w:color w:val="FF0000"/>
        </w:rPr>
        <w:t xml:space="preserve">nije omogućeno </w:t>
      </w:r>
      <w:r>
        <w:rPr>
          <w:rFonts w:cs="Arial"/>
          <w:color w:val="000000"/>
        </w:rPr>
        <w:t>odvojeno sakupljanje otpadnog tekstila.</w:t>
      </w:r>
    </w:p>
    <w:p>
      <w:pPr>
        <w:pStyle w:val="Normal"/>
        <w:rPr/>
      </w:pPr>
      <w:r>
        <w:rPr/>
      </w:r>
    </w:p>
    <w:p>
      <w:pPr>
        <w:pStyle w:val="Heading2"/>
        <w:rPr/>
      </w:pPr>
      <w:bookmarkStart w:id="13" w:name="_Toc475347819"/>
      <w:bookmarkEnd w:id="13"/>
      <w:r>
        <w:rPr/>
        <w:t>2.8 Problematični otpad iz domaćinstava</w:t>
      </w:r>
    </w:p>
    <w:p>
      <w:pPr>
        <w:pStyle w:val="Normal"/>
        <w:rPr/>
      </w:pPr>
      <w:r>
        <w:rPr/>
      </w:r>
    </w:p>
    <w:p>
      <w:pPr>
        <w:pStyle w:val="Normal"/>
        <w:spacing w:lineRule="auto" w:line="276"/>
        <w:rPr/>
      </w:pPr>
      <w:r>
        <w:rPr>
          <w:rFonts w:cs="Arial"/>
          <w:color w:val="000000"/>
        </w:rPr>
        <w:t xml:space="preserve">Sakupljanje problematičnog otpada putem mobilnog reciklažnog dvorišta nije uspostavljeno budući da nije izgrađeno mobilno reciklažno dvorište na području Općine Dragalić. Sav problematični otpad završava u </w:t>
      </w:r>
      <w:r>
        <w:rPr>
          <w:rFonts w:cs="Arial"/>
          <w:color w:val="000000"/>
        </w:rPr>
        <w:t>posudama</w:t>
      </w:r>
      <w:r>
        <w:rPr>
          <w:rFonts w:cs="Arial"/>
          <w:color w:val="000000"/>
        </w:rPr>
        <w:t xml:space="preserve"> za komunalni otpad.</w:t>
      </w:r>
    </w:p>
    <w:p>
      <w:pPr>
        <w:pStyle w:val="Normal"/>
        <w:spacing w:lineRule="auto" w:line="360"/>
        <w:rPr>
          <w:rFonts w:cs="Arial"/>
          <w:color w:val="000000"/>
        </w:rPr>
      </w:pPr>
      <w:r>
        <w:rPr>
          <w:rFonts w:cs="Arial"/>
          <w:color w:val="000000"/>
        </w:rPr>
      </w:r>
    </w:p>
    <w:p>
      <w:pPr>
        <w:pStyle w:val="Heading2"/>
        <w:rPr/>
      </w:pPr>
      <w:bookmarkStart w:id="14" w:name="_Toc475347820"/>
      <w:bookmarkEnd w:id="14"/>
      <w:r>
        <w:rPr/>
        <w:t>2.9 Građevni otpad i otpad koji sadrži azbest</w:t>
      </w:r>
    </w:p>
    <w:p>
      <w:pPr>
        <w:pStyle w:val="Normal"/>
        <w:rPr/>
      </w:pPr>
      <w:r>
        <w:rPr/>
      </w:r>
    </w:p>
    <w:p>
      <w:pPr>
        <w:pStyle w:val="Normal"/>
        <w:spacing w:lineRule="auto" w:line="276"/>
        <w:rPr>
          <w:color w:val="000000"/>
        </w:rPr>
      </w:pPr>
      <w:r>
        <w:rPr>
          <w:rFonts w:cs="Arial"/>
          <w:color w:val="000000"/>
        </w:rPr>
        <w:t>Građevni otpad  je otpad nastao prilikom gradnje građevina, rekonstrukcije, uklanjanja i održavanja postojećih građevina, te otpad nastao od iskopanog materijala, koji se ne može bez prethodne oporabe koristiti za građenje građevine zbog kojeg je nastao.</w:t>
      </w:r>
    </w:p>
    <w:p>
      <w:pPr>
        <w:pStyle w:val="Normal"/>
        <w:spacing w:lineRule="auto" w:line="276"/>
        <w:rPr/>
      </w:pPr>
      <w:r>
        <w:rPr>
          <w:rFonts w:cs="Arial"/>
          <w:color w:val="000000"/>
        </w:rPr>
        <w:t>Na području Dragalić nema uređenog odlagališta građevinskog otpada i otpada koji sadrži azbest, ali prisutni su korisnici proizvoda koji sadrže azbest (cijevi, krovni pokrovi i sl.). Fizičke osobe mogu bez naknade predati svoj azbestni otpad ovlaštenom sakupljaču, dok pravne osobe za to plaćaju naknadu.</w:t>
      </w:r>
    </w:p>
    <w:p>
      <w:pPr>
        <w:pStyle w:val="Normal"/>
        <w:spacing w:lineRule="auto" w:line="276"/>
        <w:rPr/>
      </w:pPr>
      <w:r>
        <w:rPr>
          <w:rFonts w:cs="Arial"/>
          <w:color w:val="000000"/>
        </w:rPr>
        <w:t>Potrebno je napraviti bazu podataka u Općini sa podacima o zgradama na kojima se nalazi pokrov od azbestnih ploča.</w:t>
      </w:r>
    </w:p>
    <w:p>
      <w:pPr>
        <w:pStyle w:val="Normal"/>
        <w:spacing w:lineRule="auto" w:line="276"/>
        <w:rPr/>
      </w:pPr>
      <w:r>
        <w:rPr>
          <w:rFonts w:cs="Arial"/>
          <w:color w:val="000000"/>
        </w:rPr>
        <w:t>Odlaganje građevnog otpada u Općini Dragalić nije riješeno budući da nije izgrađeno mobilno reciklažno dvorište građevnog otpada niti je uspostavljeno odlagalište građevnog otpada. Građevinski otpad se može predati na odlagalište otpada Šagulje – Ivik.</w:t>
      </w:r>
    </w:p>
    <w:p>
      <w:pPr>
        <w:pStyle w:val="Normal"/>
        <w:rPr/>
      </w:pPr>
      <w:r>
        <w:rPr/>
      </w:r>
    </w:p>
    <w:p>
      <w:pPr>
        <w:pStyle w:val="Heading2"/>
        <w:rPr/>
      </w:pPr>
      <w:bookmarkStart w:id="15" w:name="_Toc475347821"/>
      <w:bookmarkEnd w:id="15"/>
      <w:r>
        <w:rPr/>
        <w:t>2.10 EE otpad</w:t>
      </w:r>
    </w:p>
    <w:p>
      <w:pPr>
        <w:pStyle w:val="Normal"/>
        <w:rPr/>
      </w:pPr>
      <w:r>
        <w:rPr/>
      </w:r>
    </w:p>
    <w:p>
      <w:pPr>
        <w:pStyle w:val="Normal"/>
        <w:spacing w:lineRule="auto" w:line="276"/>
        <w:rPr>
          <w:rFonts w:cs="Arial"/>
          <w:color w:val="000000"/>
        </w:rPr>
      </w:pPr>
      <w:r>
        <w:rPr>
          <w:rFonts w:cs="Arial"/>
          <w:color w:val="000000"/>
        </w:rPr>
        <w:t>EE otpad se sastoji od velikoga broja različitih komponenata opasnih po okoliš kao što su živa, kadmij, krom, brom, olovo, arsen, zatim azbest, spojevi silicija, berilija, fosfor itd. Sadrži i plastiku  i slične materijale koji se mogu nakon oporabe EE otpada ponovno koristiti kao polazna sirovina za neki novi proizvod. Gospodarenje ovom vrstom otpada u skladu s pravilnikom pridonijet će zbrinjavanju opasnih komponenata EE otpada na odgovarajući način, kao i iskorištenju upotrebljivih dijelova EE otpada, odnosno smanjenju iskorištenja prirodnih resursa što je vrlo važan podatak ako se zna da je EE otpad najbrže rastuća vrsta otpada. EE otpad iz kućanstva  (hladnjake, zamrzivače, perilice i sušilice rublja, perilice posuđa, štednjake, električne radijatore, termoakumulacijske peći, klima-uređaje, TV prijamnike i drugi EE otpad mase veće od 30 kg) skupljač je dužan preuzeti unutar 30 dana od poziva. Sakupljanje EE otpada obavljaju ovlašteni sakupljači te vrste otpada.</w:t>
      </w:r>
    </w:p>
    <w:p>
      <w:pPr>
        <w:pStyle w:val="Normal"/>
        <w:spacing w:lineRule="auto" w:line="276"/>
        <w:rPr>
          <w:rFonts w:cs="Arial"/>
          <w:color w:val="000000"/>
        </w:rPr>
      </w:pPr>
      <w:r>
        <w:rPr>
          <w:rFonts w:cs="Arial"/>
          <w:color w:val="000000"/>
        </w:rPr>
        <w:t>Sakupljanje električnog i elektroničkog otpada omogućeno je na način da proizvođač otpada pozove ovlaštenog sakupljača i besplatno mu preda isti. Isto tako trgovine imaju obvezu preuzimanja električnog i elektroničkog otpada.</w:t>
      </w:r>
    </w:p>
    <w:p>
      <w:pPr>
        <w:pStyle w:val="Heading2"/>
        <w:rPr/>
      </w:pPr>
      <w:bookmarkStart w:id="16" w:name="_Toc475347822"/>
      <w:bookmarkEnd w:id="16"/>
      <w:r>
        <w:rPr/>
        <w:t>2.11 Ambalaža i otpadna ambalaža</w:t>
      </w:r>
    </w:p>
    <w:p>
      <w:pPr>
        <w:pStyle w:val="Normal"/>
        <w:rPr/>
      </w:pPr>
      <w:r>
        <w:rPr/>
      </w:r>
    </w:p>
    <w:p>
      <w:pPr>
        <w:pStyle w:val="Normal"/>
        <w:spacing w:lineRule="auto" w:line="276"/>
        <w:rPr/>
      </w:pPr>
      <w:r>
        <w:rPr>
          <w:rFonts w:cs="Arial"/>
          <w:color w:val="000000"/>
        </w:rPr>
        <w:t>Ambalažni otpad definiran u kategorijama Kataloga otpada predstavlja svaku ambalažu ili ambalažni materijal koji ostane nakon što se proizvod otpakira i odvoji od ambalaže, isključujući proizvodne ostatke. Gospodarenje ambalažnim otpadom uređeno je Pravilnikom o ambalaži i otpadnoj ambalaži (NN 88/15). Na području Općine Dragalić postavljeno je ukupno 12 zelenih otoka gdje mještani mogu odložiti ovu kategoriju otpada (papir, plastika i staklo). PET ambalažu i povratnu staklenu ambalažu građani također mogu vraćati u trgovine, te za isto dobivaju povratnu naknadu.</w:t>
      </w:r>
    </w:p>
    <w:p>
      <w:pPr>
        <w:pStyle w:val="Normal"/>
        <w:spacing w:lineRule="auto" w:line="360"/>
        <w:rPr>
          <w:rFonts w:cs="Arial"/>
          <w:color w:val="000000"/>
        </w:rPr>
      </w:pPr>
      <w:r>
        <w:rPr>
          <w:rFonts w:cs="Arial"/>
          <w:color w:val="000000"/>
        </w:rPr>
      </w:r>
    </w:p>
    <w:p>
      <w:pPr>
        <w:pStyle w:val="Heading2"/>
        <w:rPr/>
      </w:pPr>
      <w:bookmarkStart w:id="17" w:name="_Toc475347823"/>
      <w:bookmarkEnd w:id="17"/>
      <w:r>
        <w:rPr/>
        <w:t>2.12 Otpadna vozila</w:t>
      </w:r>
    </w:p>
    <w:p>
      <w:pPr>
        <w:pStyle w:val="Normal"/>
        <w:rPr/>
      </w:pPr>
      <w:r>
        <w:rPr/>
      </w:r>
    </w:p>
    <w:p>
      <w:pPr>
        <w:pStyle w:val="Normal"/>
        <w:spacing w:lineRule="auto" w:line="276"/>
        <w:rPr>
          <w:color w:val="000000"/>
        </w:rPr>
      </w:pPr>
      <w:r>
        <w:rPr>
          <w:rFonts w:cs="Arial"/>
          <w:color w:val="000000"/>
        </w:rPr>
        <w:t xml:space="preserve">Otpadna vozila sastavljena su od niza različitih materijala. Oko 75% mase automobila načinjeno je od čelika, željeza i aluminija. Ostale dijelove čini uglavnom plastika, zatim staklo, guma itd. U dijelovima se mogu naći olovo, živa, kadmij. Otpadna vozila sadrže i opasne sastojke kao što su npr. antifriz, tekućine za kočnice i ulja koja bi mogla uzrokovati onečišćenje okoliša. </w:t>
      </w:r>
    </w:p>
    <w:p>
      <w:pPr>
        <w:pStyle w:val="Normal"/>
        <w:spacing w:lineRule="auto" w:line="276"/>
        <w:rPr/>
      </w:pPr>
      <w:r>
        <w:rPr>
          <w:rFonts w:cs="Arial"/>
          <w:color w:val="000000"/>
        </w:rPr>
        <w:t>Na području Općine Dragalić otpadna vozila se skupljaju od strane ovlaštenih skupljača na poziv  ili pak osobnom dopremom otpadnog vozila na lokaciju ovlaštenih tvrtki. Građani i tvrtke koje posjeduju otpadno motorno vozilo imaju pravo na naknadu za predaju otpadnog vozila skupljaču. Otpadna vozila moraju se skupljaču predati u cijelosti.</w:t>
      </w:r>
    </w:p>
    <w:p>
      <w:pPr>
        <w:pStyle w:val="Normal"/>
        <w:spacing w:lineRule="auto" w:line="276"/>
        <w:rPr>
          <w:rFonts w:cs="Arial"/>
          <w:color w:val="000000"/>
        </w:rPr>
      </w:pPr>
      <w:r>
        <w:rPr>
          <w:rFonts w:cs="Arial"/>
          <w:color w:val="000000"/>
        </w:rPr>
        <w:t>Sakupljanje se obavlja sukladno Pravilniku o gospodarenju otpadnim vozilima (NN 125/15).</w:t>
      </w:r>
    </w:p>
    <w:p>
      <w:pPr>
        <w:pStyle w:val="Normal"/>
        <w:spacing w:lineRule="auto" w:line="360"/>
        <w:rPr>
          <w:rFonts w:cs="Arial"/>
          <w:color w:val="000000"/>
        </w:rPr>
      </w:pPr>
      <w:r>
        <w:rPr>
          <w:rFonts w:cs="Arial"/>
          <w:color w:val="000000"/>
        </w:rPr>
      </w:r>
    </w:p>
    <w:p>
      <w:pPr>
        <w:pStyle w:val="Heading2"/>
        <w:rPr/>
      </w:pPr>
      <w:bookmarkStart w:id="18" w:name="_Toc475347824"/>
      <w:bookmarkEnd w:id="18"/>
      <w:r>
        <w:rPr/>
        <w:t>2.13 Otpadne gume</w:t>
      </w:r>
    </w:p>
    <w:p>
      <w:pPr>
        <w:pStyle w:val="Normal"/>
        <w:rPr/>
      </w:pPr>
      <w:r>
        <w:rPr/>
      </w:r>
    </w:p>
    <w:p>
      <w:pPr>
        <w:pStyle w:val="Normal"/>
        <w:spacing w:lineRule="auto" w:line="276"/>
        <w:rPr>
          <w:rFonts w:cs="Arial"/>
          <w:color w:val="000000"/>
        </w:rPr>
      </w:pPr>
      <w:r>
        <w:rPr>
          <w:rFonts w:cs="Arial"/>
          <w:color w:val="000000"/>
        </w:rPr>
        <w:t>Gospodarenje otpadnim gumama regulirano je Pravilnikom o gospodarenju otpadnim gumama (NN 40/06, 31/09, 156/09, 111/11 i 86/13). Otpadna guma je guma osobnih automobila, autobusa, teretnih automobila, radnih strojeva, radnih vozila i traktora, zrakoplova i drugih letjelica te slični odgovarajući proizvodi koje posjednik ne može ili ne želi upotrebljavati, te ih zbog toga odbacuje ili namjerava odbaciti.</w:t>
      </w:r>
    </w:p>
    <w:p>
      <w:pPr>
        <w:pStyle w:val="Normal"/>
        <w:spacing w:lineRule="auto" w:line="276"/>
        <w:rPr/>
      </w:pPr>
      <w:r>
        <w:rPr>
          <w:rFonts w:cs="Arial"/>
          <w:color w:val="000000"/>
        </w:rPr>
        <w:t>Na području Općine Dragalić otpadne gume se mogu predati kod vulkanizera prilikom zamjene novih guma ili predati ovlaštenim skupljačima otpadnih guma. Ovlašteni sakupljač otpadnih guma dužan je preuzeti otpadne gume bez naplate od posjednika guma.</w:t>
      </w:r>
    </w:p>
    <w:p>
      <w:pPr>
        <w:pStyle w:val="Normal"/>
        <w:spacing w:lineRule="auto" w:line="360"/>
        <w:rPr>
          <w:rFonts w:cs="Arial"/>
          <w:color w:val="000000"/>
        </w:rPr>
      </w:pPr>
      <w:r>
        <w:rPr>
          <w:rFonts w:cs="Arial"/>
          <w:color w:val="000000"/>
        </w:rPr>
      </w:r>
    </w:p>
    <w:p>
      <w:pPr>
        <w:pStyle w:val="Heading2"/>
        <w:rPr/>
      </w:pPr>
      <w:bookmarkStart w:id="19" w:name="_Toc475347825"/>
      <w:bookmarkEnd w:id="19"/>
      <w:r>
        <w:rPr/>
        <w:t xml:space="preserve">2.14. Reciklažna dvorišta </w:t>
      </w:r>
    </w:p>
    <w:p>
      <w:pPr>
        <w:pStyle w:val="Normal"/>
        <w:rPr/>
      </w:pPr>
      <w:r>
        <w:rPr/>
      </w:r>
    </w:p>
    <w:p>
      <w:pPr>
        <w:pStyle w:val="Normal"/>
        <w:spacing w:lineRule="auto" w:line="360"/>
        <w:rPr/>
      </w:pPr>
      <w:r>
        <w:rPr>
          <w:rFonts w:cs="Arial"/>
          <w:color w:val="000000"/>
        </w:rPr>
        <w:t>Općina Dragalić nema obvezu izgradinje reciklažnog dvorišta, budući da na području općine živi manje od 1500 stanovnika.</w:t>
      </w:r>
    </w:p>
    <w:p>
      <w:pPr>
        <w:pStyle w:val="Normal"/>
        <w:spacing w:lineRule="auto" w:line="360"/>
        <w:rPr/>
      </w:pPr>
      <w:r>
        <w:rPr>
          <w:rFonts w:cs="Arial"/>
          <w:color w:val="000000"/>
        </w:rPr>
        <w:t xml:space="preserve">Općina Dragalić predviđa izgradnju </w:t>
      </w:r>
      <w:r>
        <w:rPr>
          <w:rFonts w:cs="Arial"/>
          <w:color w:val="000000"/>
        </w:rPr>
        <w:t>i uređenje</w:t>
      </w:r>
      <w:r>
        <w:rPr>
          <w:rFonts w:cs="Arial"/>
          <w:color w:val="000000"/>
        </w:rPr>
        <w:t xml:space="preserve"> prostora za mobilno reciklažno dvorište.</w:t>
      </w:r>
    </w:p>
    <w:p>
      <w:pPr>
        <w:pStyle w:val="Normal"/>
        <w:spacing w:lineRule="auto" w:line="360"/>
        <w:rPr>
          <w:rFonts w:cs="Arial"/>
          <w:color w:val="000000"/>
        </w:rPr>
      </w:pPr>
      <w:r>
        <w:rPr/>
      </w:r>
    </w:p>
    <w:p>
      <w:pPr>
        <w:pStyle w:val="Normal"/>
        <w:jc w:val="center"/>
        <w:rPr/>
      </w:pPr>
      <w:r>
        <w:rPr>
          <w:i/>
        </w:rPr>
        <w:t>Tablica 2.5  Mobilna reciklažna dvorišta - izgrađena-planirana</w:t>
      </w:r>
    </w:p>
    <w:tbl>
      <w:tblPr>
        <w:tblStyle w:val="TableGrid"/>
        <w:tblW w:w="9012" w:type="dxa"/>
        <w:jc w:val="left"/>
        <w:tblInd w:w="152" w:type="dxa"/>
        <w:tblCellMar>
          <w:top w:w="0" w:type="dxa"/>
          <w:left w:w="88" w:type="dxa"/>
          <w:bottom w:w="0" w:type="dxa"/>
          <w:right w:w="108" w:type="dxa"/>
        </w:tblCellMar>
        <w:tblLook w:firstRow="1" w:noVBand="1" w:lastRow="0" w:firstColumn="1" w:lastColumn="0" w:noHBand="0" w:val="04a0"/>
      </w:tblPr>
      <w:tblGrid>
        <w:gridCol w:w="2928"/>
        <w:gridCol w:w="3096"/>
        <w:gridCol w:w="2988"/>
      </w:tblGrid>
      <w:tr>
        <w:trPr/>
        <w:tc>
          <w:tcPr>
            <w:tcW w:w="2928" w:type="dxa"/>
            <w:tcBorders/>
            <w:shd w:color="auto" w:fill="auto" w:val="pct15"/>
            <w:tcMar>
              <w:left w:w="88" w:type="dxa"/>
            </w:tcMar>
            <w:vAlign w:val="center"/>
          </w:tcPr>
          <w:p>
            <w:pPr>
              <w:pStyle w:val="Normal"/>
              <w:spacing w:lineRule="auto" w:line="240" w:before="0" w:after="0"/>
              <w:jc w:val="center"/>
              <w:rPr>
                <w:rFonts w:cs="Arial"/>
                <w:b/>
                <w:b/>
              </w:rPr>
            </w:pPr>
            <w:r>
              <w:rPr>
                <w:rFonts w:cs="Arial"/>
                <w:b/>
              </w:rPr>
            </w:r>
          </w:p>
          <w:p>
            <w:pPr>
              <w:pStyle w:val="Normal"/>
              <w:spacing w:lineRule="auto" w:line="240" w:before="0" w:after="0"/>
              <w:jc w:val="center"/>
              <w:rPr>
                <w:rFonts w:cs="Arial"/>
                <w:b/>
                <w:b/>
              </w:rPr>
            </w:pPr>
            <w:r>
              <w:rPr>
                <w:rFonts w:cs="Arial"/>
                <w:b/>
              </w:rPr>
              <w:t>Naselje</w:t>
            </w:r>
          </w:p>
          <w:p>
            <w:pPr>
              <w:pStyle w:val="Normal"/>
              <w:spacing w:lineRule="auto" w:line="240" w:before="0" w:after="0"/>
              <w:jc w:val="center"/>
              <w:rPr>
                <w:rFonts w:cs="Arial"/>
                <w:b/>
                <w:b/>
              </w:rPr>
            </w:pPr>
            <w:r>
              <w:rPr>
                <w:rFonts w:cs="Arial"/>
                <w:b/>
              </w:rPr>
            </w:r>
          </w:p>
        </w:tc>
        <w:tc>
          <w:tcPr>
            <w:tcW w:w="3096" w:type="dxa"/>
            <w:tcBorders/>
            <w:shd w:color="auto" w:fill="auto" w:val="pct15"/>
            <w:tcMar>
              <w:left w:w="88" w:type="dxa"/>
            </w:tcMar>
            <w:vAlign w:val="center"/>
          </w:tcPr>
          <w:p>
            <w:pPr>
              <w:pStyle w:val="Normal"/>
              <w:spacing w:lineRule="auto" w:line="240" w:before="0" w:after="0"/>
              <w:jc w:val="center"/>
              <w:rPr>
                <w:rFonts w:cs="Arial"/>
                <w:b/>
                <w:b/>
              </w:rPr>
            </w:pPr>
            <w:r>
              <w:rPr>
                <w:rFonts w:cs="Arial"/>
                <w:b/>
              </w:rPr>
              <w:t>Izgrađeno</w:t>
            </w:r>
          </w:p>
        </w:tc>
        <w:tc>
          <w:tcPr>
            <w:tcW w:w="2988" w:type="dxa"/>
            <w:tcBorders/>
            <w:shd w:color="auto" w:fill="auto" w:val="pct15"/>
            <w:tcMar>
              <w:left w:w="88" w:type="dxa"/>
            </w:tcMar>
            <w:vAlign w:val="center"/>
          </w:tcPr>
          <w:p>
            <w:pPr>
              <w:pStyle w:val="Normal"/>
              <w:spacing w:lineRule="auto" w:line="240" w:before="0" w:after="0"/>
              <w:jc w:val="center"/>
              <w:rPr>
                <w:rFonts w:cs="Arial"/>
                <w:b/>
                <w:b/>
              </w:rPr>
            </w:pPr>
            <w:r>
              <w:rPr>
                <w:rFonts w:cs="Arial"/>
                <w:b/>
              </w:rPr>
              <w:t>Planirano</w:t>
            </w:r>
          </w:p>
        </w:tc>
      </w:tr>
      <w:tr>
        <w:trPr/>
        <w:tc>
          <w:tcPr>
            <w:tcW w:w="2928"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pPr>
            <w:r>
              <w:rPr>
                <w:rFonts w:cs="Arial"/>
              </w:rPr>
              <w:t>Dragalić</w:t>
            </w:r>
          </w:p>
          <w:p>
            <w:pPr>
              <w:pStyle w:val="Normal"/>
              <w:spacing w:lineRule="auto" w:line="240" w:before="0" w:after="0"/>
              <w:jc w:val="center"/>
              <w:rPr>
                <w:rFonts w:cs="Arial"/>
              </w:rPr>
            </w:pPr>
            <w:r>
              <w:rPr>
                <w:rFonts w:cs="Arial"/>
              </w:rPr>
            </w:r>
          </w:p>
        </w:tc>
        <w:tc>
          <w:tcPr>
            <w:tcW w:w="3096" w:type="dxa"/>
            <w:tcBorders/>
            <w:shd w:fill="auto" w:val="clear"/>
            <w:tcMar>
              <w:left w:w="88" w:type="dxa"/>
            </w:tcMar>
            <w:vAlign w:val="center"/>
          </w:tcPr>
          <w:p>
            <w:pPr>
              <w:pStyle w:val="Normal"/>
              <w:spacing w:lineRule="auto" w:line="240" w:before="0" w:after="0"/>
              <w:jc w:val="center"/>
              <w:rPr>
                <w:rFonts w:cs="Arial"/>
              </w:rPr>
            </w:pPr>
            <w:r>
              <w:rPr>
                <w:rFonts w:cs="Arial"/>
              </w:rPr>
              <w:t>0</w:t>
            </w:r>
          </w:p>
        </w:tc>
        <w:tc>
          <w:tcPr>
            <w:tcW w:w="2988" w:type="dxa"/>
            <w:tcBorders/>
            <w:shd w:fill="auto" w:val="clear"/>
            <w:tcMar>
              <w:left w:w="88" w:type="dxa"/>
            </w:tcMar>
            <w:vAlign w:val="center"/>
          </w:tcPr>
          <w:p>
            <w:pPr>
              <w:pStyle w:val="Normal"/>
              <w:spacing w:lineRule="auto" w:line="240" w:before="0" w:after="0"/>
              <w:jc w:val="center"/>
              <w:rPr>
                <w:rFonts w:cs="Arial"/>
              </w:rPr>
            </w:pPr>
            <w:r>
              <w:rPr>
                <w:rFonts w:cs="Arial"/>
              </w:rPr>
              <w:t>1</w:t>
            </w:r>
          </w:p>
        </w:tc>
      </w:tr>
      <w:tr>
        <w:trPr/>
        <w:tc>
          <w:tcPr>
            <w:tcW w:w="2928" w:type="dxa"/>
            <w:tcBorders>
              <w:top w:val="nil"/>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rFonts w:cs="Arial"/>
              </w:rPr>
            </w:pPr>
            <w:r>
              <w:rPr>
                <w:rFonts w:cs="Arial"/>
              </w:rPr>
            </w:r>
          </w:p>
          <w:p>
            <w:pPr>
              <w:pStyle w:val="Normal"/>
              <w:spacing w:lineRule="auto" w:line="240" w:before="0" w:after="0"/>
              <w:jc w:val="center"/>
              <w:rPr>
                <w:rFonts w:cs="Arial"/>
              </w:rPr>
            </w:pPr>
            <w:r>
              <w:rPr>
                <w:rFonts w:cs="Arial"/>
              </w:rPr>
            </w:r>
          </w:p>
        </w:tc>
        <w:tc>
          <w:tcPr>
            <w:tcW w:w="3096" w:type="dxa"/>
            <w:tcBorders>
              <w:top w:val="nil"/>
            </w:tcBorders>
            <w:shd w:fill="auto" w:val="clear"/>
            <w:tcMar>
              <w:left w:w="88" w:type="dxa"/>
            </w:tcMar>
            <w:vAlign w:val="center"/>
          </w:tcPr>
          <w:p>
            <w:pPr>
              <w:pStyle w:val="Normal"/>
              <w:spacing w:lineRule="auto" w:line="240" w:before="0" w:after="0"/>
              <w:jc w:val="center"/>
              <w:rPr/>
            </w:pPr>
            <w:r>
              <w:rPr/>
            </w:r>
          </w:p>
        </w:tc>
        <w:tc>
          <w:tcPr>
            <w:tcW w:w="2988" w:type="dxa"/>
            <w:tcBorders>
              <w:top w:val="nil"/>
            </w:tcBorders>
            <w:shd w:fill="auto" w:val="clear"/>
            <w:tcMar>
              <w:left w:w="88" w:type="dxa"/>
            </w:tcMar>
            <w:vAlign w:val="center"/>
          </w:tcPr>
          <w:p>
            <w:pPr>
              <w:pStyle w:val="Normal"/>
              <w:spacing w:lineRule="auto" w:line="240" w:before="0" w:after="0"/>
              <w:jc w:val="center"/>
              <w:rPr/>
            </w:pPr>
            <w:r>
              <w:rPr/>
            </w:r>
          </w:p>
        </w:tc>
      </w:tr>
      <w:tr>
        <w:trPr/>
        <w:tc>
          <w:tcPr>
            <w:tcW w:w="2928" w:type="dxa"/>
            <w:tcBorders>
              <w:top w:val="nil"/>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rFonts w:cs="Arial"/>
              </w:rPr>
            </w:pPr>
            <w:r>
              <w:rPr>
                <w:rFonts w:cs="Arial"/>
              </w:rPr>
            </w:r>
          </w:p>
          <w:p>
            <w:pPr>
              <w:pStyle w:val="Normal"/>
              <w:spacing w:lineRule="auto" w:line="240" w:before="0" w:after="0"/>
              <w:jc w:val="center"/>
              <w:rPr>
                <w:rFonts w:cs="Arial"/>
              </w:rPr>
            </w:pPr>
            <w:r>
              <w:rPr>
                <w:rFonts w:cs="Arial"/>
              </w:rPr>
            </w:r>
          </w:p>
        </w:tc>
        <w:tc>
          <w:tcPr>
            <w:tcW w:w="3096" w:type="dxa"/>
            <w:tcBorders>
              <w:top w:val="nil"/>
            </w:tcBorders>
            <w:shd w:fill="auto" w:val="clear"/>
            <w:tcMar>
              <w:left w:w="88" w:type="dxa"/>
            </w:tcMar>
            <w:vAlign w:val="center"/>
          </w:tcPr>
          <w:p>
            <w:pPr>
              <w:pStyle w:val="Normal"/>
              <w:spacing w:lineRule="auto" w:line="240" w:before="0" w:after="0"/>
              <w:jc w:val="center"/>
              <w:rPr/>
            </w:pPr>
            <w:r>
              <w:rPr/>
            </w:r>
          </w:p>
        </w:tc>
        <w:tc>
          <w:tcPr>
            <w:tcW w:w="2988" w:type="dxa"/>
            <w:tcBorders>
              <w:top w:val="nil"/>
            </w:tcBorders>
            <w:shd w:fill="auto" w:val="clear"/>
            <w:tcMar>
              <w:left w:w="88" w:type="dxa"/>
            </w:tcMar>
            <w:vAlign w:val="center"/>
          </w:tcPr>
          <w:p>
            <w:pPr>
              <w:pStyle w:val="Normal"/>
              <w:spacing w:lineRule="auto" w:line="240" w:before="0" w:after="0"/>
              <w:jc w:val="center"/>
              <w:rPr/>
            </w:pPr>
            <w:r>
              <w:rPr/>
            </w:r>
          </w:p>
        </w:tc>
      </w:tr>
    </w:tbl>
    <w:p>
      <w:pPr>
        <w:pStyle w:val="Normal"/>
        <w:rPr/>
      </w:pPr>
      <w:r>
        <w:rPr/>
      </w:r>
    </w:p>
    <w:p>
      <w:pPr>
        <w:pStyle w:val="Normal"/>
        <w:rPr/>
      </w:pPr>
      <w:r>
        <w:rPr/>
      </w:r>
    </w:p>
    <w:p>
      <w:pPr>
        <w:pStyle w:val="Normal"/>
        <w:rPr/>
      </w:pPr>
      <w:r>
        <w:rPr/>
      </w:r>
    </w:p>
    <w:p>
      <w:pPr>
        <w:pStyle w:val="Heading2"/>
        <w:rPr/>
      </w:pPr>
      <w:bookmarkStart w:id="20" w:name="_Toc475347826"/>
      <w:bookmarkEnd w:id="20"/>
      <w:r>
        <w:rPr/>
        <w:t>2.15. Zeleni otoci</w:t>
      </w:r>
    </w:p>
    <w:p>
      <w:pPr>
        <w:pStyle w:val="Normal"/>
        <w:rPr/>
      </w:pPr>
      <w:r>
        <w:rPr/>
      </w:r>
    </w:p>
    <w:p>
      <w:pPr>
        <w:pStyle w:val="Normal"/>
        <w:spacing w:lineRule="auto" w:line="276"/>
        <w:rPr/>
      </w:pPr>
      <w:r>
        <w:rPr>
          <w:rFonts w:cs="Arial"/>
          <w:color w:val="000000"/>
        </w:rPr>
        <w:t xml:space="preserve">U 6 naselja Općine Dragalić izgrađeni su zeleni otoci. Na istima je omogućeno odvojeno sakupljanje papira, plastike i stakla. </w:t>
      </w:r>
    </w:p>
    <w:p>
      <w:pPr>
        <w:pStyle w:val="Heading1"/>
        <w:rPr/>
      </w:pPr>
      <w:r>
        <w:rPr/>
      </w:r>
    </w:p>
    <w:p>
      <w:pPr>
        <w:pStyle w:val="Normal"/>
        <w:jc w:val="center"/>
        <w:rPr>
          <w:i/>
          <w:i/>
        </w:rPr>
      </w:pPr>
      <w:r>
        <w:rPr>
          <w:i/>
        </w:rPr>
        <w:t>Tablica 2.6 Zeleni otoci</w:t>
      </w:r>
    </w:p>
    <w:tbl>
      <w:tblPr>
        <w:tblStyle w:val="TableGrid"/>
        <w:tblW w:w="9012" w:type="dxa"/>
        <w:jc w:val="left"/>
        <w:tblInd w:w="104" w:type="dxa"/>
        <w:tblCellMar>
          <w:top w:w="0" w:type="dxa"/>
          <w:left w:w="88" w:type="dxa"/>
          <w:bottom w:w="0" w:type="dxa"/>
          <w:right w:w="108" w:type="dxa"/>
        </w:tblCellMar>
        <w:tblLook w:firstRow="1" w:noVBand="1" w:lastRow="0" w:firstColumn="1" w:lastColumn="0" w:noHBand="0" w:val="04a0"/>
      </w:tblPr>
      <w:tblGrid>
        <w:gridCol w:w="2976"/>
        <w:gridCol w:w="3096"/>
        <w:gridCol w:w="2940"/>
      </w:tblGrid>
      <w:tr>
        <w:trPr/>
        <w:tc>
          <w:tcPr>
            <w:tcW w:w="2976" w:type="dxa"/>
            <w:tcBorders/>
            <w:shd w:color="auto" w:fill="auto" w:val="pct15"/>
            <w:tcMar>
              <w:left w:w="88" w:type="dxa"/>
            </w:tcMar>
            <w:vAlign w:val="center"/>
          </w:tcPr>
          <w:p>
            <w:pPr>
              <w:pStyle w:val="Normal"/>
              <w:spacing w:lineRule="auto" w:line="240" w:before="0" w:after="0"/>
              <w:jc w:val="center"/>
              <w:rPr>
                <w:rFonts w:cs="Arial"/>
                <w:b/>
                <w:b/>
              </w:rPr>
            </w:pPr>
            <w:r>
              <w:rPr>
                <w:rFonts w:cs="Arial"/>
                <w:b/>
              </w:rPr>
            </w:r>
          </w:p>
          <w:p>
            <w:pPr>
              <w:pStyle w:val="Normal"/>
              <w:spacing w:lineRule="auto" w:line="240" w:before="0" w:after="0"/>
              <w:jc w:val="center"/>
              <w:rPr>
                <w:rFonts w:cs="Arial"/>
                <w:b/>
                <w:b/>
              </w:rPr>
            </w:pPr>
            <w:r>
              <w:rPr>
                <w:rFonts w:cs="Arial"/>
                <w:b/>
              </w:rPr>
              <w:t>Naselje</w:t>
            </w:r>
          </w:p>
          <w:p>
            <w:pPr>
              <w:pStyle w:val="Normal"/>
              <w:spacing w:lineRule="auto" w:line="240" w:before="0" w:after="0"/>
              <w:jc w:val="center"/>
              <w:rPr>
                <w:rFonts w:cs="Arial"/>
                <w:b/>
                <w:b/>
              </w:rPr>
            </w:pPr>
            <w:r>
              <w:rPr>
                <w:rFonts w:cs="Arial"/>
                <w:b/>
              </w:rPr>
            </w:r>
          </w:p>
        </w:tc>
        <w:tc>
          <w:tcPr>
            <w:tcW w:w="3096" w:type="dxa"/>
            <w:tcBorders/>
            <w:shd w:color="auto" w:fill="auto" w:val="pct15"/>
            <w:tcMar>
              <w:left w:w="88" w:type="dxa"/>
            </w:tcMar>
            <w:vAlign w:val="center"/>
          </w:tcPr>
          <w:p>
            <w:pPr>
              <w:pStyle w:val="Normal"/>
              <w:spacing w:lineRule="auto" w:line="240" w:before="0" w:after="0"/>
              <w:jc w:val="center"/>
              <w:rPr>
                <w:rFonts w:cs="Arial"/>
                <w:b/>
                <w:b/>
              </w:rPr>
            </w:pPr>
            <w:r>
              <w:rPr>
                <w:rFonts w:cs="Arial"/>
                <w:b/>
              </w:rPr>
              <w:t>Izgrađeno (broj)</w:t>
            </w:r>
          </w:p>
        </w:tc>
        <w:tc>
          <w:tcPr>
            <w:tcW w:w="2940" w:type="dxa"/>
            <w:tcBorders/>
            <w:shd w:color="auto" w:fill="auto" w:val="pct15"/>
            <w:tcMar>
              <w:left w:w="88" w:type="dxa"/>
            </w:tcMar>
            <w:vAlign w:val="center"/>
          </w:tcPr>
          <w:p>
            <w:pPr>
              <w:pStyle w:val="Normal"/>
              <w:spacing w:lineRule="auto" w:line="240" w:before="0" w:after="0"/>
              <w:jc w:val="center"/>
              <w:rPr>
                <w:rFonts w:cs="Arial"/>
                <w:b/>
                <w:b/>
              </w:rPr>
            </w:pPr>
            <w:r>
              <w:rPr>
                <w:rFonts w:cs="Arial"/>
                <w:b/>
              </w:rPr>
              <w:t>Planirano u 2018. godini</w:t>
            </w:r>
          </w:p>
        </w:tc>
      </w:tr>
      <w:tr>
        <w:trPr/>
        <w:tc>
          <w:tcPr>
            <w:tcW w:w="2976"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pPr>
            <w:r>
              <w:rPr>
                <w:rFonts w:cs="Arial"/>
              </w:rPr>
              <w:t>Dragalić</w:t>
            </w:r>
          </w:p>
          <w:p>
            <w:pPr>
              <w:pStyle w:val="Normal"/>
              <w:spacing w:lineRule="auto" w:line="240" w:before="0" w:after="0"/>
              <w:jc w:val="center"/>
              <w:rPr>
                <w:rFonts w:cs="Arial"/>
              </w:rPr>
            </w:pPr>
            <w:r>
              <w:rPr>
                <w:rFonts w:cs="Arial"/>
              </w:rPr>
            </w:r>
          </w:p>
        </w:tc>
        <w:tc>
          <w:tcPr>
            <w:tcW w:w="3096" w:type="dxa"/>
            <w:tcBorders/>
            <w:shd w:fill="auto" w:val="clear"/>
            <w:tcMar>
              <w:left w:w="88" w:type="dxa"/>
            </w:tcMar>
            <w:vAlign w:val="center"/>
          </w:tcPr>
          <w:p>
            <w:pPr>
              <w:pStyle w:val="Normal"/>
              <w:spacing w:lineRule="auto" w:line="240" w:before="0" w:after="0"/>
              <w:jc w:val="center"/>
              <w:rPr/>
            </w:pPr>
            <w:r>
              <w:rPr>
                <w:rFonts w:cs="Arial"/>
              </w:rPr>
              <w:t>2</w:t>
            </w:r>
          </w:p>
        </w:tc>
        <w:tc>
          <w:tcPr>
            <w:tcW w:w="2940" w:type="dxa"/>
            <w:tcBorders/>
            <w:shd w:fill="auto" w:val="clear"/>
            <w:tcMar>
              <w:left w:w="88" w:type="dxa"/>
            </w:tcMar>
            <w:vAlign w:val="center"/>
          </w:tcPr>
          <w:p>
            <w:pPr>
              <w:pStyle w:val="Normal"/>
              <w:spacing w:lineRule="auto" w:line="240" w:before="0" w:after="0"/>
              <w:jc w:val="center"/>
              <w:rPr>
                <w:rFonts w:cs="Arial"/>
              </w:rPr>
            </w:pPr>
            <w:r>
              <w:rPr>
                <w:rFonts w:cs="Arial"/>
              </w:rPr>
              <w:t>2</w:t>
            </w:r>
          </w:p>
        </w:tc>
      </w:tr>
      <w:tr>
        <w:trPr/>
        <w:tc>
          <w:tcPr>
            <w:tcW w:w="2976"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pPr>
            <w:r>
              <w:rPr>
                <w:rFonts w:cs="Arial"/>
              </w:rPr>
              <w:t>Donji Bogičevci</w:t>
            </w:r>
          </w:p>
          <w:p>
            <w:pPr>
              <w:pStyle w:val="Normal"/>
              <w:spacing w:lineRule="auto" w:line="240" w:before="0" w:after="0"/>
              <w:jc w:val="center"/>
              <w:rPr>
                <w:rFonts w:cs="Arial"/>
              </w:rPr>
            </w:pPr>
            <w:r>
              <w:rPr>
                <w:rFonts w:cs="Arial"/>
              </w:rPr>
            </w:r>
          </w:p>
        </w:tc>
        <w:tc>
          <w:tcPr>
            <w:tcW w:w="3096" w:type="dxa"/>
            <w:tcBorders/>
            <w:shd w:fill="auto" w:val="clear"/>
            <w:tcMar>
              <w:left w:w="88" w:type="dxa"/>
            </w:tcMar>
            <w:vAlign w:val="center"/>
          </w:tcPr>
          <w:p>
            <w:pPr>
              <w:pStyle w:val="Normal"/>
              <w:spacing w:lineRule="auto" w:line="240" w:before="0" w:after="0"/>
              <w:jc w:val="center"/>
              <w:rPr/>
            </w:pPr>
            <w:r>
              <w:rPr>
                <w:rFonts w:cs="Arial"/>
              </w:rPr>
              <w:t>2</w:t>
            </w:r>
          </w:p>
        </w:tc>
        <w:tc>
          <w:tcPr>
            <w:tcW w:w="2940" w:type="dxa"/>
            <w:tcBorders/>
            <w:shd w:fill="auto" w:val="clear"/>
            <w:tcMar>
              <w:left w:w="88" w:type="dxa"/>
            </w:tcMar>
            <w:vAlign w:val="center"/>
          </w:tcPr>
          <w:p>
            <w:pPr>
              <w:pStyle w:val="Normal"/>
              <w:spacing w:lineRule="auto" w:line="240" w:before="0" w:after="0"/>
              <w:jc w:val="center"/>
              <w:rPr/>
            </w:pPr>
            <w:r>
              <w:rPr>
                <w:rFonts w:cs="Arial"/>
              </w:rPr>
              <w:t>0</w:t>
            </w:r>
          </w:p>
        </w:tc>
      </w:tr>
      <w:tr>
        <w:trPr/>
        <w:tc>
          <w:tcPr>
            <w:tcW w:w="2976"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pPr>
            <w:r>
              <w:rPr>
                <w:rFonts w:cs="Arial"/>
              </w:rPr>
              <w:t>Gorice</w:t>
            </w:r>
          </w:p>
          <w:p>
            <w:pPr>
              <w:pStyle w:val="Normal"/>
              <w:spacing w:lineRule="auto" w:line="240" w:before="0" w:after="0"/>
              <w:jc w:val="center"/>
              <w:rPr>
                <w:rFonts w:cs="Arial"/>
              </w:rPr>
            </w:pPr>
            <w:r>
              <w:rPr>
                <w:rFonts w:cs="Arial"/>
              </w:rPr>
            </w:r>
          </w:p>
        </w:tc>
        <w:tc>
          <w:tcPr>
            <w:tcW w:w="3096" w:type="dxa"/>
            <w:tcBorders/>
            <w:shd w:fill="auto" w:val="clear"/>
            <w:tcMar>
              <w:left w:w="88" w:type="dxa"/>
            </w:tcMar>
            <w:vAlign w:val="center"/>
          </w:tcPr>
          <w:p>
            <w:pPr>
              <w:pStyle w:val="Normal"/>
              <w:spacing w:lineRule="auto" w:line="240" w:before="0" w:after="0"/>
              <w:jc w:val="center"/>
              <w:rPr/>
            </w:pPr>
            <w:r>
              <w:rPr>
                <w:rFonts w:cs="Arial"/>
              </w:rPr>
              <w:t>2</w:t>
            </w:r>
          </w:p>
        </w:tc>
        <w:tc>
          <w:tcPr>
            <w:tcW w:w="2940" w:type="dxa"/>
            <w:tcBorders/>
            <w:shd w:fill="auto" w:val="clear"/>
            <w:tcMar>
              <w:left w:w="88" w:type="dxa"/>
            </w:tcMar>
            <w:vAlign w:val="center"/>
          </w:tcPr>
          <w:p>
            <w:pPr>
              <w:pStyle w:val="Normal"/>
              <w:spacing w:lineRule="auto" w:line="240" w:before="0" w:after="0"/>
              <w:jc w:val="center"/>
              <w:rPr/>
            </w:pPr>
            <w:r>
              <w:rPr>
                <w:rFonts w:cs="Arial"/>
              </w:rPr>
              <w:t>0</w:t>
            </w:r>
          </w:p>
        </w:tc>
      </w:tr>
      <w:tr>
        <w:trPr/>
        <w:tc>
          <w:tcPr>
            <w:tcW w:w="2976"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pPr>
            <w:r>
              <w:rPr>
                <w:rFonts w:cs="Arial"/>
              </w:rPr>
              <w:t>Mašić</w:t>
            </w:r>
          </w:p>
          <w:p>
            <w:pPr>
              <w:pStyle w:val="Normal"/>
              <w:spacing w:lineRule="auto" w:line="240" w:before="0" w:after="0"/>
              <w:jc w:val="center"/>
              <w:rPr>
                <w:rFonts w:cs="Arial"/>
              </w:rPr>
            </w:pPr>
            <w:r>
              <w:rPr>
                <w:rFonts w:cs="Arial"/>
              </w:rPr>
            </w:r>
          </w:p>
        </w:tc>
        <w:tc>
          <w:tcPr>
            <w:tcW w:w="3096" w:type="dxa"/>
            <w:tcBorders/>
            <w:shd w:fill="auto" w:val="clear"/>
            <w:tcMar>
              <w:left w:w="88" w:type="dxa"/>
            </w:tcMar>
            <w:vAlign w:val="center"/>
          </w:tcPr>
          <w:p>
            <w:pPr>
              <w:pStyle w:val="Normal"/>
              <w:spacing w:lineRule="auto" w:line="240" w:before="0" w:after="0"/>
              <w:jc w:val="center"/>
              <w:rPr/>
            </w:pPr>
            <w:r>
              <w:rPr>
                <w:rFonts w:cs="Arial"/>
              </w:rPr>
              <w:t>2</w:t>
            </w:r>
          </w:p>
        </w:tc>
        <w:tc>
          <w:tcPr>
            <w:tcW w:w="2940" w:type="dxa"/>
            <w:tcBorders/>
            <w:shd w:fill="auto" w:val="clear"/>
            <w:tcMar>
              <w:left w:w="88" w:type="dxa"/>
            </w:tcMar>
            <w:vAlign w:val="center"/>
          </w:tcPr>
          <w:p>
            <w:pPr>
              <w:pStyle w:val="Normal"/>
              <w:spacing w:lineRule="auto" w:line="240" w:before="0" w:after="0"/>
              <w:jc w:val="center"/>
              <w:rPr/>
            </w:pPr>
            <w:r>
              <w:rPr>
                <w:rFonts w:cs="Arial"/>
              </w:rPr>
              <w:t>0</w:t>
            </w:r>
          </w:p>
        </w:tc>
      </w:tr>
      <w:tr>
        <w:trPr/>
        <w:tc>
          <w:tcPr>
            <w:tcW w:w="2976"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pPr>
            <w:r>
              <w:rPr>
                <w:rFonts w:cs="Arial"/>
              </w:rPr>
              <w:t>Medari</w:t>
            </w:r>
          </w:p>
          <w:p>
            <w:pPr>
              <w:pStyle w:val="Normal"/>
              <w:spacing w:lineRule="auto" w:line="240" w:before="0" w:after="0"/>
              <w:jc w:val="center"/>
              <w:rPr>
                <w:rFonts w:cs="Arial"/>
              </w:rPr>
            </w:pPr>
            <w:r>
              <w:rPr>
                <w:rFonts w:cs="Arial"/>
              </w:rPr>
            </w:r>
          </w:p>
        </w:tc>
        <w:tc>
          <w:tcPr>
            <w:tcW w:w="3096" w:type="dxa"/>
            <w:tcBorders/>
            <w:shd w:fill="auto" w:val="clear"/>
            <w:tcMar>
              <w:left w:w="88" w:type="dxa"/>
            </w:tcMar>
            <w:vAlign w:val="center"/>
          </w:tcPr>
          <w:p>
            <w:pPr>
              <w:pStyle w:val="Normal"/>
              <w:spacing w:lineRule="auto" w:line="240" w:before="0" w:after="0"/>
              <w:jc w:val="center"/>
              <w:rPr/>
            </w:pPr>
            <w:r>
              <w:rPr>
                <w:rFonts w:cs="Arial"/>
              </w:rPr>
              <w:t>2</w:t>
            </w:r>
          </w:p>
        </w:tc>
        <w:tc>
          <w:tcPr>
            <w:tcW w:w="2940" w:type="dxa"/>
            <w:tcBorders/>
            <w:shd w:fill="auto" w:val="clear"/>
            <w:tcMar>
              <w:left w:w="88" w:type="dxa"/>
            </w:tcMar>
            <w:vAlign w:val="center"/>
          </w:tcPr>
          <w:p>
            <w:pPr>
              <w:pStyle w:val="Normal"/>
              <w:spacing w:lineRule="auto" w:line="240" w:before="0" w:after="0"/>
              <w:jc w:val="center"/>
              <w:rPr/>
            </w:pPr>
            <w:r>
              <w:rPr>
                <w:rFonts w:cs="Arial"/>
              </w:rPr>
              <w:t>0</w:t>
            </w:r>
          </w:p>
        </w:tc>
      </w:tr>
      <w:tr>
        <w:trPr/>
        <w:tc>
          <w:tcPr>
            <w:tcW w:w="2976"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pPr>
            <w:r>
              <w:rPr>
                <w:rFonts w:cs="Arial"/>
              </w:rPr>
              <w:t>Poljane</w:t>
            </w:r>
          </w:p>
          <w:p>
            <w:pPr>
              <w:pStyle w:val="Normal"/>
              <w:spacing w:lineRule="auto" w:line="240" w:before="0" w:after="0"/>
              <w:jc w:val="center"/>
              <w:rPr>
                <w:rFonts w:cs="Arial"/>
              </w:rPr>
            </w:pPr>
            <w:r>
              <w:rPr>
                <w:rFonts w:cs="Arial"/>
              </w:rPr>
            </w:r>
          </w:p>
          <w:p>
            <w:pPr>
              <w:pStyle w:val="Normal"/>
              <w:spacing w:lineRule="auto" w:line="240" w:before="0" w:after="0"/>
              <w:rPr>
                <w:rFonts w:cs="Arial"/>
              </w:rPr>
            </w:pPr>
            <w:r>
              <w:rPr>
                <w:rFonts w:cs="Arial"/>
              </w:rPr>
            </w:r>
          </w:p>
        </w:tc>
        <w:tc>
          <w:tcPr>
            <w:tcW w:w="3096" w:type="dxa"/>
            <w:tcBorders/>
            <w:shd w:fill="auto" w:val="clear"/>
            <w:tcMar>
              <w:left w:w="88" w:type="dxa"/>
            </w:tcMar>
            <w:vAlign w:val="center"/>
          </w:tcPr>
          <w:p>
            <w:pPr>
              <w:pStyle w:val="Normal"/>
              <w:spacing w:lineRule="auto" w:line="240" w:before="0" w:after="0"/>
              <w:jc w:val="center"/>
              <w:rPr/>
            </w:pPr>
            <w:r>
              <w:rPr>
                <w:rFonts w:cs="Arial"/>
              </w:rPr>
              <w:t>2</w:t>
            </w:r>
          </w:p>
        </w:tc>
        <w:tc>
          <w:tcPr>
            <w:tcW w:w="2940"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pPr>
            <w:r>
              <w:rPr>
                <w:rFonts w:cs="Arial"/>
              </w:rPr>
              <w:t>2</w:t>
            </w:r>
          </w:p>
          <w:p>
            <w:pPr>
              <w:pStyle w:val="Normal"/>
              <w:spacing w:lineRule="auto" w:line="240" w:before="0" w:after="0"/>
              <w:jc w:val="center"/>
              <w:rPr>
                <w:rFonts w:cs="Arial"/>
              </w:rPr>
            </w:pPr>
            <w:r>
              <w:rPr>
                <w:rFonts w:cs="Arial"/>
              </w:rPr>
            </w:r>
          </w:p>
        </w:tc>
      </w:tr>
    </w:tbl>
    <w:p>
      <w:pPr>
        <w:pStyle w:val="Normal"/>
        <w:jc w:val="center"/>
        <w:rPr/>
      </w:pPr>
      <w:r>
        <w:rPr/>
      </w:r>
    </w:p>
    <w:p>
      <w:pPr>
        <w:pStyle w:val="Normal"/>
        <w:jc w:val="center"/>
        <w:rPr/>
      </w:pPr>
      <w:r>
        <w:rPr/>
      </w:r>
    </w:p>
    <w:p>
      <w:pPr>
        <w:pStyle w:val="Heading2"/>
        <w:rPr/>
      </w:pPr>
      <w:bookmarkStart w:id="21" w:name="_Toc475347827"/>
      <w:bookmarkEnd w:id="21"/>
      <w:r>
        <w:rPr/>
        <w:t>2.16 Ocjena stanja</w:t>
      </w:r>
    </w:p>
    <w:p>
      <w:pPr>
        <w:pStyle w:val="Normal"/>
        <w:rPr/>
      </w:pPr>
      <w:r>
        <w:rPr/>
      </w:r>
    </w:p>
    <w:p>
      <w:pPr>
        <w:pStyle w:val="Normal"/>
        <w:spacing w:lineRule="auto" w:line="276"/>
        <w:rPr/>
      </w:pPr>
      <w:r>
        <w:rPr>
          <w:rFonts w:cs="Arial"/>
          <w:color w:val="000000"/>
        </w:rPr>
        <w:t xml:space="preserve">Sakupljanje komunalnog otpada na području Općine Dragalić je zadovoljavajuće prema dostupnosti sakupljanja u svim naseljima. </w:t>
      </w:r>
    </w:p>
    <w:p>
      <w:pPr>
        <w:pStyle w:val="Normal"/>
        <w:spacing w:lineRule="auto" w:line="276"/>
        <w:rPr/>
      </w:pPr>
      <w:r>
        <w:rPr>
          <w:rFonts w:cs="Arial"/>
          <w:color w:val="000000"/>
        </w:rPr>
        <w:t>Nije zadovoljavajući podatak da neka domaćinstava ne žele zbrinjavati komunalni otpad putem javne usluge prikupljanja komunalnog otpada.</w:t>
      </w:r>
    </w:p>
    <w:p>
      <w:pPr>
        <w:pStyle w:val="Normal"/>
        <w:spacing w:lineRule="auto" w:line="276"/>
        <w:rPr>
          <w:color w:val="000000"/>
        </w:rPr>
      </w:pPr>
      <w:r>
        <w:rPr>
          <w:rFonts w:cs="Arial"/>
          <w:color w:val="000000"/>
        </w:rPr>
        <w:t>Nije zadovoljavajuća mogućnost izdvajanja biorazgradivog komunalnog otpada. U tu svrhu potrebno je omogućiti izdvajanje biorazgradivog otpada na kučnom pragu, podjelom kompostera domaćinstvima.</w:t>
      </w:r>
    </w:p>
    <w:p>
      <w:pPr>
        <w:pStyle w:val="Normal"/>
        <w:spacing w:lineRule="auto" w:line="276"/>
        <w:rPr/>
      </w:pPr>
      <w:r>
        <w:rPr>
          <w:rFonts w:cs="Arial"/>
          <w:color w:val="000000"/>
        </w:rPr>
        <w:t xml:space="preserve">Nije zadovoljavajuće riješeno sakupljanje problematičnog otpada. Problematični otpad se treba sakupljati u reciklažnim dvorištima. Općina Dragalić prema broju stanovnika ne mora izgraditi reciklažno dvorište ali mora omogučiti postavljanje mobilnog reciklažnog dvorišta. </w:t>
      </w:r>
    </w:p>
    <w:p>
      <w:pPr>
        <w:pStyle w:val="Normal"/>
        <w:spacing w:lineRule="auto" w:line="276"/>
        <w:rPr/>
      </w:pPr>
      <w:r>
        <w:rPr>
          <w:rFonts w:cs="Arial"/>
          <w:color w:val="000000"/>
        </w:rPr>
        <w:t xml:space="preserve">Sakupljanje četiri vrste otpada (papir, plastika, staklo i metal), za koje postoji obveza izdvajanja iz komunalnog otpada je djelomično riješeno. Postavljeni su kontejneri na zelenim otocima za odvojeno sakupljanje papira, plastike i stakla. Kontejneri za odvojeno sakupljanje metala nisu postavljeni na zelenim otocima. </w:t>
      </w:r>
    </w:p>
    <w:p>
      <w:pPr>
        <w:pStyle w:val="Normal"/>
        <w:spacing w:lineRule="auto" w:line="276"/>
        <w:rPr>
          <w:color w:val="FF0000"/>
        </w:rPr>
      </w:pPr>
      <w:r>
        <w:rPr>
          <w:rFonts w:cs="Arial"/>
          <w:color w:val="FF0000"/>
        </w:rPr>
        <w:t>Izdvojeno sakupljanje tekstila i obuće nije zadovoljavajuće. Potrebno je postaviti kontejnere za sakupljanje istoga.</w:t>
      </w:r>
      <w:r>
        <w:rPr>
          <w:rFonts w:cs="Arial"/>
          <w:color w:val="000000"/>
        </w:rPr>
        <w:t>????</w:t>
      </w:r>
    </w:p>
    <w:p>
      <w:pPr>
        <w:pStyle w:val="Normal"/>
        <w:spacing w:lineRule="auto" w:line="276"/>
        <w:rPr/>
      </w:pPr>
      <w:r>
        <w:rPr>
          <w:rFonts w:cs="Arial"/>
          <w:color w:val="000000"/>
        </w:rPr>
        <w:t xml:space="preserve">Sakupljanje glomaznog otpada je djelomično riješeno budući da nije izgrađeno mobilno reciklažno dvorište. </w:t>
      </w:r>
    </w:p>
    <w:p>
      <w:pPr>
        <w:pStyle w:val="Normal"/>
        <w:spacing w:lineRule="auto" w:line="276"/>
        <w:rPr>
          <w:color w:val="000000"/>
        </w:rPr>
      </w:pPr>
      <w:r>
        <w:rPr>
          <w:rFonts w:cs="Arial"/>
          <w:color w:val="000000"/>
        </w:rPr>
        <w:t>Glomazni otpad se odvozi po godišnjem planu koncesionara za sakupljanje komunalnog otpada.</w:t>
      </w:r>
    </w:p>
    <w:p>
      <w:pPr>
        <w:pStyle w:val="Normal"/>
        <w:spacing w:lineRule="auto" w:line="276"/>
        <w:rPr/>
      </w:pPr>
      <w:r>
        <w:rPr>
          <w:rFonts w:cs="Arial"/>
          <w:color w:val="000000"/>
        </w:rPr>
        <w:t>Skupljeni miješani komunalni i neopasni proizvodni otpad odlaže se na lokaciji odlagališta neopasnog otpada Šagulje - Ivik, a odvojeno sakupljene vrste korisnog otpada se predaju ovlaštenim sakupljačima.</w:t>
      </w:r>
    </w:p>
    <w:p>
      <w:pPr>
        <w:pStyle w:val="Heading1"/>
        <w:rPr/>
      </w:pPr>
      <w:bookmarkStart w:id="22" w:name="_Toc475347828"/>
      <w:bookmarkEnd w:id="22"/>
      <w:r>
        <w:rPr/>
        <w:t>3 PODACI O VRSTAMA I KOLIČINAMA PROIZVEDENOG OTPADA, ODVOJENO SAKUPLJENOG OTPADA, ODLAGANJU KOMUNALNOG I BIORAZGRADIVOG OTPADA, TE OSTVARIVANJU CILJEVA</w:t>
      </w:r>
    </w:p>
    <w:p>
      <w:pPr>
        <w:pStyle w:val="Normal"/>
        <w:rPr/>
      </w:pPr>
      <w:r>
        <w:rPr/>
      </w:r>
    </w:p>
    <w:p>
      <w:pPr>
        <w:pStyle w:val="Heading2"/>
        <w:rPr/>
      </w:pPr>
      <w:bookmarkStart w:id="23" w:name="_Toc475347829"/>
      <w:bookmarkEnd w:id="23"/>
      <w:r>
        <w:rPr/>
        <w:t>3.1 Podaci o količinama odvojeno sakupljenog otpada</w:t>
      </w:r>
    </w:p>
    <w:p>
      <w:pPr>
        <w:pStyle w:val="Normal"/>
        <w:rPr/>
      </w:pPr>
      <w:r>
        <w:rPr/>
      </w:r>
    </w:p>
    <w:p>
      <w:pPr>
        <w:pStyle w:val="Normal"/>
        <w:spacing w:lineRule="auto" w:line="276"/>
        <w:rPr>
          <w:rFonts w:cs="Arial"/>
        </w:rPr>
      </w:pPr>
      <w:r>
        <w:rPr>
          <w:rFonts w:cs="Arial"/>
        </w:rPr>
        <w:t>Podaci o skupljenim i odloženim količinama otpada, kao i o količinama odvojeno skupljenog otpada predanog ovlaštenim sakupljačima nalaze se u sljedećim tablicama:</w:t>
      </w:r>
    </w:p>
    <w:p>
      <w:pPr>
        <w:pStyle w:val="Normal"/>
        <w:spacing w:lineRule="auto" w:line="276"/>
        <w:rPr>
          <w:rFonts w:cs="Arial"/>
        </w:rPr>
      </w:pPr>
      <w:r>
        <w:rPr>
          <w:rFonts w:cs="Arial"/>
        </w:rPr>
      </w:r>
    </w:p>
    <w:p>
      <w:pPr>
        <w:pStyle w:val="Normal"/>
        <w:spacing w:lineRule="auto" w:line="360"/>
        <w:jc w:val="center"/>
        <w:rPr/>
      </w:pPr>
      <w:r>
        <w:rPr>
          <w:rFonts w:cs="Arial"/>
          <w:i/>
        </w:rPr>
        <w:t>Tablica 3.1 Količine sakupljenog komunalnog otpada u 2015. godini ukupno</w:t>
      </w:r>
    </w:p>
    <w:tbl>
      <w:tblPr>
        <w:tblStyle w:val="TableGrid"/>
        <w:tblW w:w="9289" w:type="dxa"/>
        <w:jc w:val="left"/>
        <w:tblInd w:w="-20" w:type="dxa"/>
        <w:tblCellMar>
          <w:top w:w="0" w:type="dxa"/>
          <w:left w:w="88" w:type="dxa"/>
          <w:bottom w:w="0" w:type="dxa"/>
          <w:right w:w="108" w:type="dxa"/>
        </w:tblCellMar>
        <w:tblLook w:firstRow="1" w:noVBand="1" w:lastRow="0" w:firstColumn="1" w:lastColumn="0" w:noHBand="0" w:val="04a0"/>
      </w:tblPr>
      <w:tblGrid>
        <w:gridCol w:w="2322"/>
        <w:gridCol w:w="2322"/>
        <w:gridCol w:w="2322"/>
        <w:gridCol w:w="2322"/>
      </w:tblGrid>
      <w:tr>
        <w:trPr/>
        <w:tc>
          <w:tcPr>
            <w:tcW w:w="2322" w:type="dxa"/>
            <w:tcBorders/>
            <w:shd w:color="auto" w:fill="auto" w:val="pct15"/>
            <w:tcMar>
              <w:left w:w="88" w:type="dxa"/>
            </w:tcMar>
            <w:vAlign w:val="center"/>
          </w:tcPr>
          <w:p>
            <w:pPr>
              <w:pStyle w:val="Normal"/>
              <w:spacing w:lineRule="auto" w:line="240" w:before="0" w:after="0"/>
              <w:jc w:val="center"/>
              <w:rPr>
                <w:rFonts w:cs="Arial"/>
                <w:b/>
                <w:b/>
              </w:rPr>
            </w:pPr>
            <w:r>
              <w:rPr>
                <w:rFonts w:cs="Arial"/>
                <w:b/>
              </w:rPr>
            </w:r>
          </w:p>
          <w:p>
            <w:pPr>
              <w:pStyle w:val="Normal"/>
              <w:spacing w:lineRule="auto" w:line="240" w:before="0" w:after="0"/>
              <w:jc w:val="center"/>
              <w:rPr>
                <w:rFonts w:cs="Arial"/>
                <w:b/>
                <w:b/>
              </w:rPr>
            </w:pPr>
            <w:r>
              <w:rPr>
                <w:rFonts w:cs="Arial"/>
                <w:b/>
              </w:rPr>
              <w:t>Općina</w:t>
            </w:r>
          </w:p>
          <w:p>
            <w:pPr>
              <w:pStyle w:val="Normal"/>
              <w:spacing w:lineRule="auto" w:line="240" w:before="0" w:after="0"/>
              <w:jc w:val="center"/>
              <w:rPr>
                <w:rFonts w:cs="Arial"/>
                <w:b/>
                <w:b/>
              </w:rPr>
            </w:pPr>
            <w:r>
              <w:rPr>
                <w:rFonts w:cs="Arial"/>
                <w:b/>
              </w:rPr>
            </w:r>
          </w:p>
        </w:tc>
        <w:tc>
          <w:tcPr>
            <w:tcW w:w="2322" w:type="dxa"/>
            <w:tcBorders/>
            <w:shd w:color="auto" w:fill="auto" w:val="pct15"/>
            <w:tcMar>
              <w:left w:w="88" w:type="dxa"/>
            </w:tcMar>
            <w:vAlign w:val="center"/>
          </w:tcPr>
          <w:p>
            <w:pPr>
              <w:pStyle w:val="Normal"/>
              <w:spacing w:lineRule="auto" w:line="240" w:before="0" w:after="0"/>
              <w:jc w:val="center"/>
              <w:rPr>
                <w:rFonts w:cs="Arial"/>
                <w:b/>
                <w:b/>
              </w:rPr>
            </w:pPr>
            <w:r>
              <w:rPr>
                <w:rFonts w:cs="Arial"/>
                <w:b/>
              </w:rPr>
              <w:t>Broj stanovnika</w:t>
            </w:r>
          </w:p>
        </w:tc>
        <w:tc>
          <w:tcPr>
            <w:tcW w:w="2322" w:type="dxa"/>
            <w:tcBorders/>
            <w:shd w:color="auto" w:fill="auto" w:val="pct15"/>
            <w:tcMar>
              <w:left w:w="88" w:type="dxa"/>
            </w:tcMar>
            <w:vAlign w:val="center"/>
          </w:tcPr>
          <w:p>
            <w:pPr>
              <w:pStyle w:val="Normal"/>
              <w:spacing w:lineRule="auto" w:line="240" w:before="0" w:after="0"/>
              <w:jc w:val="center"/>
              <w:rPr>
                <w:rFonts w:cs="Arial"/>
                <w:b/>
                <w:b/>
              </w:rPr>
            </w:pPr>
            <w:r>
              <w:rPr>
                <w:rFonts w:cs="Arial"/>
                <w:b/>
              </w:rPr>
              <w:t>Ukupno sakupljeno u 2015. godini, t</w:t>
            </w:r>
          </w:p>
        </w:tc>
        <w:tc>
          <w:tcPr>
            <w:tcW w:w="2322" w:type="dxa"/>
            <w:tcBorders/>
            <w:shd w:color="auto" w:fill="auto" w:val="pct15"/>
            <w:tcMar>
              <w:left w:w="88" w:type="dxa"/>
            </w:tcMar>
            <w:vAlign w:val="center"/>
          </w:tcPr>
          <w:p>
            <w:pPr>
              <w:pStyle w:val="Normal"/>
              <w:spacing w:lineRule="auto" w:line="240" w:before="0" w:after="0"/>
              <w:jc w:val="center"/>
              <w:rPr>
                <w:rFonts w:cs="Arial"/>
                <w:b/>
                <w:b/>
              </w:rPr>
            </w:pPr>
            <w:r>
              <w:rPr>
                <w:rFonts w:cs="Arial"/>
                <w:b/>
              </w:rPr>
              <w:t>kg/stanovniku</w:t>
            </w:r>
          </w:p>
        </w:tc>
      </w:tr>
      <w:tr>
        <w:trPr/>
        <w:tc>
          <w:tcPr>
            <w:tcW w:w="2322"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pPr>
            <w:r>
              <w:rPr>
                <w:rFonts w:cs="Arial"/>
              </w:rPr>
              <w:t>Dragalić</w:t>
            </w:r>
          </w:p>
          <w:p>
            <w:pPr>
              <w:pStyle w:val="Normal"/>
              <w:spacing w:lineRule="auto" w:line="240" w:before="0" w:after="0"/>
              <w:jc w:val="center"/>
              <w:rPr>
                <w:rFonts w:cs="Arial"/>
              </w:rPr>
            </w:pPr>
            <w:r>
              <w:rPr>
                <w:rFonts w:cs="Arial"/>
              </w:rPr>
            </w:r>
          </w:p>
        </w:tc>
        <w:tc>
          <w:tcPr>
            <w:tcW w:w="2322" w:type="dxa"/>
            <w:tcBorders/>
            <w:shd w:fill="auto" w:val="clear"/>
            <w:tcMar>
              <w:left w:w="88" w:type="dxa"/>
            </w:tcMar>
            <w:vAlign w:val="center"/>
          </w:tcPr>
          <w:p>
            <w:pPr>
              <w:pStyle w:val="Normal"/>
              <w:spacing w:lineRule="auto" w:line="240" w:before="0" w:after="0"/>
              <w:jc w:val="center"/>
              <w:rPr/>
            </w:pPr>
            <w:r>
              <w:rPr>
                <w:rFonts w:cs="Arial"/>
              </w:rPr>
              <w:t>1361</w:t>
            </w:r>
          </w:p>
        </w:tc>
        <w:tc>
          <w:tcPr>
            <w:tcW w:w="2322" w:type="dxa"/>
            <w:tcBorders/>
            <w:shd w:fill="auto" w:val="clear"/>
            <w:tcMar>
              <w:left w:w="88" w:type="dxa"/>
            </w:tcMar>
            <w:vAlign w:val="center"/>
          </w:tcPr>
          <w:p>
            <w:pPr>
              <w:pStyle w:val="Normal"/>
              <w:spacing w:lineRule="auto" w:line="240" w:before="0" w:after="0"/>
              <w:jc w:val="center"/>
              <w:rPr/>
            </w:pPr>
            <w:r>
              <w:rPr>
                <w:rFonts w:cs="Arial"/>
              </w:rPr>
              <w:t>121,24</w:t>
            </w:r>
          </w:p>
        </w:tc>
        <w:tc>
          <w:tcPr>
            <w:tcW w:w="2322" w:type="dxa"/>
            <w:tcBorders/>
            <w:shd w:fill="auto" w:val="clear"/>
            <w:tcMar>
              <w:left w:w="88" w:type="dxa"/>
            </w:tcMar>
            <w:vAlign w:val="center"/>
          </w:tcPr>
          <w:p>
            <w:pPr>
              <w:pStyle w:val="Normal"/>
              <w:spacing w:lineRule="auto" w:line="240" w:before="0" w:after="0"/>
              <w:jc w:val="center"/>
              <w:rPr/>
            </w:pPr>
            <w:r>
              <w:rPr>
                <w:rFonts w:cs="Arial"/>
              </w:rPr>
              <w:t>89</w:t>
            </w:r>
          </w:p>
        </w:tc>
      </w:tr>
    </w:tbl>
    <w:p>
      <w:pPr>
        <w:pStyle w:val="Normal"/>
        <w:rPr/>
      </w:pPr>
      <w:r>
        <w:rPr/>
      </w:r>
    </w:p>
    <w:p>
      <w:pPr>
        <w:pStyle w:val="Normal"/>
        <w:rPr/>
      </w:pPr>
      <w:r>
        <w:rPr/>
        <w:t>U 2015. godini nije bilo odvajanja pojedinih vrsta komunalnog otpada.</w:t>
      </w:r>
    </w:p>
    <w:p>
      <w:pPr>
        <w:pStyle w:val="Normal"/>
        <w:jc w:val="center"/>
        <w:rPr>
          <w:i/>
          <w:i/>
        </w:rPr>
      </w:pPr>
      <w:r>
        <w:rPr/>
      </w:r>
    </w:p>
    <w:p>
      <w:pPr>
        <w:pStyle w:val="Normal"/>
        <w:jc w:val="center"/>
        <w:rPr/>
      </w:pPr>
      <w:r>
        <w:rPr>
          <w:i/>
        </w:rPr>
        <w:t>Tablica 3.2 Količine odvojenih vrsta otpada iz komunalnog otpada u 2016. godini</w:t>
      </w:r>
    </w:p>
    <w:p>
      <w:pPr>
        <w:pStyle w:val="Normal"/>
        <w:jc w:val="center"/>
        <w:rPr/>
      </w:pPr>
      <w:r>
        <w:rPr>
          <w:i/>
        </w:rPr>
        <w:t>(01.01.2016.-31.06.2016.)</w:t>
      </w:r>
    </w:p>
    <w:tbl>
      <w:tblPr>
        <w:tblStyle w:val="TableGrid"/>
        <w:tblW w:w="8952" w:type="dxa"/>
        <w:jc w:val="left"/>
        <w:tblInd w:w="200" w:type="dxa"/>
        <w:tblCellMar>
          <w:top w:w="0" w:type="dxa"/>
          <w:left w:w="88" w:type="dxa"/>
          <w:bottom w:w="0" w:type="dxa"/>
          <w:right w:w="108" w:type="dxa"/>
        </w:tblCellMar>
        <w:tblLook w:firstRow="1" w:noVBand="1" w:lastRow="0" w:firstColumn="1" w:lastColumn="0" w:noHBand="0" w:val="04a0"/>
      </w:tblPr>
      <w:tblGrid>
        <w:gridCol w:w="924"/>
        <w:gridCol w:w="1140"/>
        <w:gridCol w:w="1152"/>
        <w:gridCol w:w="1128"/>
        <w:gridCol w:w="1152"/>
        <w:gridCol w:w="1200"/>
        <w:gridCol w:w="1152"/>
        <w:gridCol w:w="1104"/>
      </w:tblGrid>
      <w:tr>
        <w:trPr/>
        <w:tc>
          <w:tcPr>
            <w:tcW w:w="924" w:type="dxa"/>
            <w:tcBorders/>
            <w:shd w:color="auto" w:fill="auto" w:val="pct15"/>
            <w:tcMar>
              <w:left w:w="88" w:type="dxa"/>
            </w:tcMar>
            <w:vAlign w:val="center"/>
          </w:tcPr>
          <w:p>
            <w:pPr>
              <w:pStyle w:val="Normal"/>
              <w:spacing w:lineRule="auto" w:line="240" w:before="0" w:after="0"/>
              <w:jc w:val="center"/>
              <w:rPr>
                <w:rFonts w:cs="Arial"/>
                <w:b/>
                <w:b/>
              </w:rPr>
            </w:pPr>
            <w:r>
              <w:rPr>
                <w:rFonts w:cs="Arial"/>
                <w:b/>
              </w:rPr>
            </w:r>
          </w:p>
          <w:p>
            <w:pPr>
              <w:pStyle w:val="Normal"/>
              <w:widowControl/>
              <w:bidi w:val="0"/>
              <w:spacing w:lineRule="auto" w:line="240" w:before="0" w:after="0"/>
              <w:ind w:left="0" w:right="0" w:firstLine="57"/>
              <w:jc w:val="center"/>
              <w:rPr/>
            </w:pPr>
            <w:r>
              <w:rPr>
                <w:rFonts w:cs="Arial"/>
                <w:b/>
              </w:rPr>
              <w:t>Općina</w:t>
            </w:r>
          </w:p>
          <w:p>
            <w:pPr>
              <w:pStyle w:val="Normal"/>
              <w:spacing w:lineRule="auto" w:line="240" w:before="0" w:after="0"/>
              <w:jc w:val="center"/>
              <w:rPr>
                <w:rFonts w:cs="Arial"/>
                <w:b/>
                <w:b/>
              </w:rPr>
            </w:pPr>
            <w:r>
              <w:rPr>
                <w:rFonts w:cs="Arial"/>
                <w:b/>
              </w:rPr>
            </w:r>
          </w:p>
        </w:tc>
        <w:tc>
          <w:tcPr>
            <w:tcW w:w="1140" w:type="dxa"/>
            <w:tcBorders/>
            <w:shd w:color="auto" w:fill="auto" w:val="pct15"/>
            <w:tcMar>
              <w:left w:w="88" w:type="dxa"/>
            </w:tcMar>
            <w:vAlign w:val="center"/>
          </w:tcPr>
          <w:p>
            <w:pPr>
              <w:pStyle w:val="Normal"/>
              <w:spacing w:lineRule="auto" w:line="240" w:before="0" w:after="0"/>
              <w:jc w:val="center"/>
              <w:rPr>
                <w:rFonts w:cs="Arial"/>
                <w:b/>
                <w:b/>
              </w:rPr>
            </w:pPr>
            <w:r>
              <w:rPr>
                <w:rFonts w:cs="Arial"/>
                <w:b/>
              </w:rPr>
              <w:t>Papir, t</w:t>
            </w:r>
          </w:p>
        </w:tc>
        <w:tc>
          <w:tcPr>
            <w:tcW w:w="1152" w:type="dxa"/>
            <w:tcBorders/>
            <w:shd w:color="auto" w:fill="auto" w:val="pct15"/>
            <w:tcMar>
              <w:left w:w="88" w:type="dxa"/>
            </w:tcMar>
            <w:vAlign w:val="center"/>
          </w:tcPr>
          <w:p>
            <w:pPr>
              <w:pStyle w:val="Normal"/>
              <w:spacing w:lineRule="auto" w:line="240" w:before="0" w:after="0"/>
              <w:jc w:val="center"/>
              <w:rPr>
                <w:rFonts w:cs="Arial"/>
                <w:b/>
                <w:b/>
              </w:rPr>
            </w:pPr>
            <w:r>
              <w:rPr>
                <w:rFonts w:cs="Arial"/>
                <w:b/>
              </w:rPr>
              <w:t>Plastika, t</w:t>
            </w:r>
          </w:p>
        </w:tc>
        <w:tc>
          <w:tcPr>
            <w:tcW w:w="1128" w:type="dxa"/>
            <w:tcBorders/>
            <w:shd w:color="auto" w:fill="auto" w:val="pct15"/>
            <w:tcMar>
              <w:left w:w="88" w:type="dxa"/>
            </w:tcMar>
            <w:vAlign w:val="center"/>
          </w:tcPr>
          <w:p>
            <w:pPr>
              <w:pStyle w:val="Normal"/>
              <w:spacing w:lineRule="auto" w:line="240" w:before="0" w:after="0"/>
              <w:jc w:val="center"/>
              <w:rPr>
                <w:rFonts w:cs="Arial"/>
                <w:b/>
                <w:b/>
              </w:rPr>
            </w:pPr>
            <w:r>
              <w:rPr>
                <w:rFonts w:cs="Arial"/>
                <w:b/>
              </w:rPr>
              <w:t>Metal, t</w:t>
            </w:r>
          </w:p>
        </w:tc>
        <w:tc>
          <w:tcPr>
            <w:tcW w:w="1152" w:type="dxa"/>
            <w:tcBorders/>
            <w:shd w:color="auto" w:fill="auto" w:val="pct15"/>
            <w:tcMar>
              <w:left w:w="88" w:type="dxa"/>
            </w:tcMar>
            <w:vAlign w:val="center"/>
          </w:tcPr>
          <w:p>
            <w:pPr>
              <w:pStyle w:val="Normal"/>
              <w:spacing w:lineRule="auto" w:line="240" w:before="0" w:after="0"/>
              <w:jc w:val="center"/>
              <w:rPr>
                <w:rFonts w:cs="Arial"/>
                <w:b/>
                <w:b/>
              </w:rPr>
            </w:pPr>
            <w:r>
              <w:rPr>
                <w:rFonts w:cs="Arial"/>
                <w:b/>
              </w:rPr>
              <w:t>Staklo, t</w:t>
            </w:r>
          </w:p>
        </w:tc>
        <w:tc>
          <w:tcPr>
            <w:tcW w:w="1200" w:type="dxa"/>
            <w:tcBorders/>
            <w:shd w:color="auto" w:fill="auto" w:val="pct15"/>
            <w:tcMar>
              <w:left w:w="88" w:type="dxa"/>
            </w:tcMar>
            <w:vAlign w:val="center"/>
          </w:tcPr>
          <w:p>
            <w:pPr>
              <w:pStyle w:val="Normal"/>
              <w:spacing w:lineRule="auto" w:line="240" w:before="0" w:after="0"/>
              <w:jc w:val="center"/>
              <w:rPr>
                <w:rFonts w:cs="Arial"/>
                <w:b/>
                <w:b/>
              </w:rPr>
            </w:pPr>
            <w:r>
              <w:rPr>
                <w:rFonts w:cs="Arial"/>
                <w:b/>
              </w:rPr>
              <w:t>Glomazni otpad, t</w:t>
            </w:r>
          </w:p>
        </w:tc>
        <w:tc>
          <w:tcPr>
            <w:tcW w:w="1152" w:type="dxa"/>
            <w:tcBorders/>
            <w:shd w:color="auto" w:fill="auto" w:val="pct15"/>
            <w:tcMar>
              <w:left w:w="88" w:type="dxa"/>
            </w:tcMar>
            <w:vAlign w:val="center"/>
          </w:tcPr>
          <w:p>
            <w:pPr>
              <w:pStyle w:val="Normal"/>
              <w:spacing w:lineRule="auto" w:line="240" w:before="0" w:after="0"/>
              <w:jc w:val="center"/>
              <w:rPr>
                <w:rFonts w:cs="Arial"/>
                <w:b/>
                <w:b/>
              </w:rPr>
            </w:pPr>
            <w:r>
              <w:rPr>
                <w:rFonts w:cs="Arial"/>
                <w:b/>
              </w:rPr>
              <w:t>Tekstil, t</w:t>
            </w:r>
          </w:p>
        </w:tc>
        <w:tc>
          <w:tcPr>
            <w:tcW w:w="1104" w:type="dxa"/>
            <w:tcBorders/>
            <w:shd w:color="auto" w:fill="auto" w:val="pct15"/>
            <w:tcMar>
              <w:left w:w="88" w:type="dxa"/>
            </w:tcMar>
            <w:vAlign w:val="center"/>
          </w:tcPr>
          <w:p>
            <w:pPr>
              <w:pStyle w:val="Normal"/>
              <w:spacing w:lineRule="auto" w:line="240" w:before="0" w:after="0"/>
              <w:jc w:val="center"/>
              <w:rPr>
                <w:rFonts w:cs="Arial"/>
                <w:b/>
                <w:b/>
              </w:rPr>
            </w:pPr>
            <w:r>
              <w:rPr>
                <w:rFonts w:cs="Arial"/>
                <w:b/>
              </w:rPr>
              <w:t>Biootpad, t</w:t>
            </w:r>
          </w:p>
        </w:tc>
      </w:tr>
      <w:tr>
        <w:trPr/>
        <w:tc>
          <w:tcPr>
            <w:tcW w:w="924" w:type="dxa"/>
            <w:tcBorders/>
            <w:shd w:fill="auto" w:val="clear"/>
            <w:tcMar>
              <w:left w:w="88" w:type="dxa"/>
            </w:tcMar>
            <w:vAlign w:val="center"/>
          </w:tcPr>
          <w:p>
            <w:pPr>
              <w:pStyle w:val="Normal"/>
              <w:widowControl/>
              <w:bidi w:val="0"/>
              <w:spacing w:lineRule="auto" w:line="240" w:before="0" w:after="0"/>
              <w:ind w:left="0" w:right="0" w:firstLine="113"/>
              <w:jc w:val="center"/>
              <w:rPr/>
            </w:pPr>
            <w:r>
              <w:rPr>
                <w:rFonts w:cs="Arial"/>
              </w:rPr>
              <w:t>Dragalić</w:t>
            </w:r>
          </w:p>
        </w:tc>
        <w:tc>
          <w:tcPr>
            <w:tcW w:w="1140"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pPr>
            <w:r>
              <w:rPr>
                <w:rFonts w:cs="Arial"/>
              </w:rPr>
              <w:t>1,3</w:t>
            </w:r>
          </w:p>
          <w:p>
            <w:pPr>
              <w:pStyle w:val="Normal"/>
              <w:spacing w:lineRule="auto" w:line="240" w:before="0" w:after="0"/>
              <w:jc w:val="center"/>
              <w:rPr>
                <w:rFonts w:cs="Arial"/>
              </w:rPr>
            </w:pPr>
            <w:r>
              <w:rPr>
                <w:rFonts w:cs="Arial"/>
              </w:rPr>
            </w:r>
          </w:p>
        </w:tc>
        <w:tc>
          <w:tcPr>
            <w:tcW w:w="1152" w:type="dxa"/>
            <w:tcBorders/>
            <w:shd w:fill="auto" w:val="clear"/>
            <w:tcMar>
              <w:left w:w="88" w:type="dxa"/>
            </w:tcMar>
            <w:vAlign w:val="center"/>
          </w:tcPr>
          <w:p>
            <w:pPr>
              <w:pStyle w:val="Normal"/>
              <w:spacing w:lineRule="auto" w:line="240" w:before="0" w:after="0"/>
              <w:jc w:val="center"/>
              <w:rPr/>
            </w:pPr>
            <w:r>
              <w:rPr>
                <w:rFonts w:cs="Arial"/>
              </w:rPr>
              <w:t>0,85</w:t>
            </w:r>
          </w:p>
        </w:tc>
        <w:tc>
          <w:tcPr>
            <w:tcW w:w="1128" w:type="dxa"/>
            <w:tcBorders/>
            <w:shd w:fill="auto" w:val="clear"/>
            <w:tcMar>
              <w:left w:w="88" w:type="dxa"/>
            </w:tcMar>
            <w:vAlign w:val="center"/>
          </w:tcPr>
          <w:p>
            <w:pPr>
              <w:pStyle w:val="Normal"/>
              <w:spacing w:lineRule="auto" w:line="240" w:before="0" w:after="0"/>
              <w:jc w:val="center"/>
              <w:rPr>
                <w:rFonts w:cs="Arial"/>
              </w:rPr>
            </w:pPr>
            <w:r>
              <w:rPr>
                <w:rFonts w:cs="Arial"/>
              </w:rPr>
              <w:t>0</w:t>
            </w:r>
          </w:p>
        </w:tc>
        <w:tc>
          <w:tcPr>
            <w:tcW w:w="1152" w:type="dxa"/>
            <w:tcBorders/>
            <w:shd w:fill="auto" w:val="clear"/>
            <w:tcMar>
              <w:left w:w="88" w:type="dxa"/>
            </w:tcMar>
            <w:vAlign w:val="center"/>
          </w:tcPr>
          <w:p>
            <w:pPr>
              <w:pStyle w:val="Normal"/>
              <w:spacing w:lineRule="auto" w:line="240" w:before="0" w:after="0"/>
              <w:jc w:val="center"/>
              <w:rPr/>
            </w:pPr>
            <w:r>
              <w:rPr>
                <w:rFonts w:cs="Arial"/>
              </w:rPr>
              <w:t>1,15</w:t>
            </w:r>
          </w:p>
        </w:tc>
        <w:tc>
          <w:tcPr>
            <w:tcW w:w="1200" w:type="dxa"/>
            <w:tcBorders/>
            <w:shd w:fill="auto" w:val="clear"/>
            <w:tcMar>
              <w:left w:w="88" w:type="dxa"/>
            </w:tcMar>
            <w:vAlign w:val="center"/>
          </w:tcPr>
          <w:p>
            <w:pPr>
              <w:pStyle w:val="Normal"/>
              <w:spacing w:lineRule="auto" w:line="240" w:before="0" w:after="0"/>
              <w:jc w:val="center"/>
              <w:rPr/>
            </w:pPr>
            <w:r>
              <w:rPr>
                <w:rFonts w:cs="Arial"/>
              </w:rPr>
              <w:t>0,66</w:t>
            </w:r>
          </w:p>
        </w:tc>
        <w:tc>
          <w:tcPr>
            <w:tcW w:w="1152" w:type="dxa"/>
            <w:tcBorders/>
            <w:shd w:fill="auto" w:val="clear"/>
            <w:tcMar>
              <w:left w:w="88" w:type="dxa"/>
            </w:tcMar>
            <w:vAlign w:val="center"/>
          </w:tcPr>
          <w:p>
            <w:pPr>
              <w:pStyle w:val="Normal"/>
              <w:spacing w:lineRule="auto" w:line="240" w:before="0" w:after="0"/>
              <w:jc w:val="center"/>
              <w:rPr>
                <w:rFonts w:cs="Arial"/>
              </w:rPr>
            </w:pPr>
            <w:r>
              <w:rPr>
                <w:rFonts w:cs="Arial"/>
              </w:rPr>
              <w:t>0</w:t>
            </w:r>
          </w:p>
        </w:tc>
        <w:tc>
          <w:tcPr>
            <w:tcW w:w="1104" w:type="dxa"/>
            <w:tcBorders/>
            <w:shd w:fill="auto" w:val="clear"/>
            <w:tcMar>
              <w:left w:w="88" w:type="dxa"/>
            </w:tcMar>
            <w:vAlign w:val="center"/>
          </w:tcPr>
          <w:p>
            <w:pPr>
              <w:pStyle w:val="Normal"/>
              <w:spacing w:lineRule="auto" w:line="240" w:before="0" w:after="0"/>
              <w:jc w:val="center"/>
              <w:rPr>
                <w:rFonts w:cs="Arial"/>
              </w:rPr>
            </w:pPr>
            <w:r>
              <w:rPr>
                <w:rFonts w:cs="Arial"/>
              </w:rPr>
              <w:t>0</w:t>
            </w:r>
          </w:p>
        </w:tc>
      </w:tr>
    </w:tbl>
    <w:p>
      <w:pPr>
        <w:pStyle w:val="Normal"/>
        <w:jc w:val="center"/>
        <w:rPr/>
      </w:pPr>
      <w:r>
        <w:rPr/>
      </w:r>
    </w:p>
    <w:p>
      <w:pPr>
        <w:pStyle w:val="Normal"/>
        <w:spacing w:lineRule="auto" w:line="276"/>
        <w:rPr/>
      </w:pPr>
      <w:r>
        <w:rPr>
          <w:rFonts w:cs="Arial"/>
        </w:rPr>
        <w:t>Na odlagalište Šagulje - Ivik u 2016. godini odloženo je 66,54 t miješanog komunalnog otpada s područja Općine Dragalić.</w:t>
      </w:r>
    </w:p>
    <w:p>
      <w:pPr>
        <w:pStyle w:val="Heading1"/>
        <w:rPr/>
      </w:pPr>
      <w:bookmarkStart w:id="24" w:name="_Toc475347830"/>
      <w:bookmarkEnd w:id="24"/>
      <w:r>
        <w:rPr/>
        <w:t>4 PODACI O POSTOJEĆIM I PLANIRANIM GRAĐEVINAMA I UREĐAJIMA ZA GOSPODARENJE OTPADOM, TE STATUSU SANACIJE NEUSKLAĐENIH ODLAGALIŠTA I LOKACIJA ONEČIŠĆENIH OTPADOM</w:t>
      </w:r>
    </w:p>
    <w:p>
      <w:pPr>
        <w:pStyle w:val="Normal"/>
        <w:rPr/>
      </w:pPr>
      <w:r>
        <w:rPr/>
      </w:r>
    </w:p>
    <w:p>
      <w:pPr>
        <w:pStyle w:val="Heading2"/>
        <w:rPr/>
      </w:pPr>
      <w:bookmarkStart w:id="25" w:name="_Toc475347831"/>
      <w:bookmarkEnd w:id="25"/>
      <w:r>
        <w:rPr/>
        <w:t>4.1 Odlagalište otpada</w:t>
      </w:r>
    </w:p>
    <w:p>
      <w:pPr>
        <w:pStyle w:val="Normal"/>
        <w:rPr/>
      </w:pPr>
      <w:r>
        <w:rPr/>
      </w:r>
    </w:p>
    <w:p>
      <w:pPr>
        <w:pStyle w:val="Normal"/>
        <w:spacing w:lineRule="auto" w:line="276"/>
        <w:rPr/>
      </w:pPr>
      <w:r>
        <w:rPr>
          <w:rFonts w:cs="Arial"/>
        </w:rPr>
        <w:t>Na području Općine Dragalić ne postoji odlagalište otpada. Sav komunalni otpad odvozi se na odlagalište otpada Šagulje - Ivik u Općini Nova Gradiška.</w:t>
      </w:r>
    </w:p>
    <w:p>
      <w:pPr>
        <w:pStyle w:val="Normal"/>
        <w:spacing w:lineRule="auto" w:line="276"/>
        <w:rPr/>
      </w:pPr>
      <w:r>
        <w:rPr/>
        <w:tab/>
      </w:r>
      <w:r>
        <w:rPr>
          <w:i/>
        </w:rPr>
        <w:t xml:space="preserve">Naziv postrojenja </w:t>
      </w:r>
      <w:r>
        <w:rPr/>
        <w:t>:</w:t>
      </w:r>
      <w:r>
        <w:rPr>
          <w:i/>
        </w:rPr>
        <w:t xml:space="preserve"> </w:t>
      </w:r>
      <w:r>
        <w:rPr/>
        <w:t>Odlagalište otpada Šagulje - Ivik</w:t>
      </w:r>
    </w:p>
    <w:p>
      <w:pPr>
        <w:pStyle w:val="Normal"/>
        <w:spacing w:lineRule="auto" w:line="276"/>
        <w:rPr/>
      </w:pPr>
      <w:r>
        <w:rPr/>
        <w:tab/>
      </w:r>
      <w:r>
        <w:rPr>
          <w:i/>
        </w:rPr>
        <w:t xml:space="preserve">Lokacija </w:t>
      </w:r>
      <w:r>
        <w:rPr/>
        <w:t xml:space="preserve">: Postrojenje se nalazi na </w:t>
      </w:r>
      <w:r>
        <w:rPr>
          <w:rFonts w:cs="Arial"/>
          <w:color w:val="000000"/>
        </w:rPr>
        <w:t>k.č. 826 k.o. Prvča.</w:t>
      </w:r>
    </w:p>
    <w:p>
      <w:pPr>
        <w:pStyle w:val="Normal"/>
        <w:spacing w:lineRule="auto" w:line="276"/>
        <w:rPr/>
      </w:pPr>
      <w:r>
        <w:rPr/>
        <w:tab/>
      </w:r>
      <w:r>
        <w:rPr>
          <w:i/>
        </w:rPr>
        <w:t xml:space="preserve">Operater </w:t>
      </w:r>
      <w:r>
        <w:rPr/>
        <w:t>: Odlagalište d.o.o., Nova Gradiška</w:t>
      </w:r>
    </w:p>
    <w:p>
      <w:pPr>
        <w:pStyle w:val="Normal"/>
        <w:spacing w:lineRule="auto" w:line="360"/>
        <w:jc w:val="center"/>
        <w:rPr/>
      </w:pPr>
      <w:r>
        <w:rPr>
          <w:rFonts w:cs="Arial"/>
          <w:i/>
        </w:rPr>
        <w:t>Tablica 4.1 Odlagališta otpada</w:t>
      </w:r>
    </w:p>
    <w:p>
      <w:pPr>
        <w:pStyle w:val="Normal"/>
        <w:spacing w:lineRule="auto" w:line="276" w:before="0" w:after="0"/>
        <w:jc w:val="center"/>
        <w:rPr/>
      </w:pPr>
      <w:r>
        <w:rPr/>
        <w:drawing>
          <wp:anchor behindDoc="0" distT="0" distB="0" distL="0" distR="0" simplePos="0" locked="0" layoutInCell="1" allowOverlap="1" relativeHeight="8">
            <wp:simplePos x="0" y="0"/>
            <wp:positionH relativeFrom="column">
              <wp:align>center</wp:align>
            </wp:positionH>
            <wp:positionV relativeFrom="paragraph">
              <wp:posOffset>635</wp:posOffset>
            </wp:positionV>
            <wp:extent cx="5242560" cy="5622925"/>
            <wp:effectExtent l="0" t="0" r="0" b="0"/>
            <wp:wrapSquare wrapText="largest"/>
            <wp:docPr id="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
                    <pic:cNvPicPr>
                      <a:picLocks noChangeAspect="1" noChangeArrowheads="1"/>
                    </pic:cNvPicPr>
                  </pic:nvPicPr>
                  <pic:blipFill>
                    <a:blip r:embed="rId9"/>
                    <a:stretch>
                      <a:fillRect/>
                    </a:stretch>
                  </pic:blipFill>
                  <pic:spPr bwMode="auto">
                    <a:xfrm>
                      <a:off x="0" y="0"/>
                      <a:ext cx="5242560" cy="5622925"/>
                    </a:xfrm>
                    <a:prstGeom prst="rect">
                      <a:avLst/>
                    </a:prstGeom>
                  </pic:spPr>
                </pic:pic>
              </a:graphicData>
            </a:graphic>
          </wp:anchor>
        </w:drawing>
      </w:r>
    </w:p>
    <w:p>
      <w:pPr>
        <w:pStyle w:val="Normal"/>
        <w:spacing w:lineRule="auto" w:line="360"/>
        <w:jc w:val="center"/>
        <w:rPr>
          <w:rFonts w:cs="Arial"/>
        </w:rPr>
      </w:pPr>
      <w:r>
        <w:rPr>
          <w:rFonts w:cs="Arial"/>
        </w:rPr>
        <mc:AlternateContent>
          <mc:Choice Requires="wps">
            <w:drawing>
              <wp:anchor behindDoc="0" distT="0" distB="0" distL="114300" distR="114300" simplePos="0" locked="0" layoutInCell="1" allowOverlap="1" relativeHeight="7" wp14:anchorId="28FE3C2E">
                <wp:simplePos x="0" y="0"/>
                <wp:positionH relativeFrom="column">
                  <wp:posOffset>1074420</wp:posOffset>
                </wp:positionH>
                <wp:positionV relativeFrom="paragraph">
                  <wp:posOffset>4380230</wp:posOffset>
                </wp:positionV>
                <wp:extent cx="4445" cy="4445"/>
                <wp:effectExtent l="57150" t="19050" r="76200" b="69850"/>
                <wp:wrapNone/>
                <wp:docPr id="6" name="Straight Connector 33"/>
                <a:graphic xmlns:a="http://schemas.openxmlformats.org/drawingml/2006/main">
                  <a:graphicData uri="http://schemas.microsoft.com/office/word/2010/wordprocessingShape">
                    <wps:wsp>
                      <wps:cNvSpPr/>
                      <wps:spPr>
                        <a:xfrm flipH="1">
                          <a:off x="0" y="0"/>
                          <a:ext cx="3240" cy="3240"/>
                        </a:xfrm>
                        <a:prstGeom prst="line">
                          <a:avLst/>
                        </a:prstGeom>
                        <a:ln>
                          <a:round/>
                        </a:ln>
                      </wps:spPr>
                      <wps:style>
                        <a:lnRef idx="2">
                          <a:schemeClr val="accent2"/>
                        </a:lnRef>
                        <a:fillRef idx="0">
                          <a:schemeClr val="accent2"/>
                        </a:fillRef>
                        <a:effectRef idx="1">
                          <a:schemeClr val="accent2"/>
                        </a:effectRef>
                        <a:fontRef idx="minor"/>
                      </wps:style>
                      <wps:bodyPr/>
                    </wps:wsp>
                  </a:graphicData>
                </a:graphic>
              </wp:anchor>
            </w:drawing>
          </mc:Choice>
          <mc:Fallback>
            <w:pict>
              <v:line id="shape_0" from="84.55pt,344.85pt" to="84.75pt,345.05pt" ID="Straight Connector 33" stroked="t" style="position:absolute;flip:x" wp14:anchorId="28FE3C2E">
                <v:stroke color="#c0504d" weight="25560" joinstyle="round" endcap="flat"/>
                <v:fill o:detectmouseclick="t" on="false"/>
                <v:shadow on="t" obscured="f" color="black"/>
              </v:line>
            </w:pict>
          </mc:Fallback>
        </mc:AlternateContent>
      </w:r>
    </w:p>
    <w:p>
      <w:pPr>
        <w:pStyle w:val="Normal"/>
        <w:spacing w:lineRule="auto" w:line="360"/>
        <w:rPr>
          <w:lang w:eastAsia="hr-HR"/>
        </w:rPr>
      </w:pPr>
      <w:r>
        <w:rPr>
          <w:lang w:eastAsia="hr-HR"/>
        </w:rPr>
      </w:r>
    </w:p>
    <w:p>
      <w:pPr>
        <w:pStyle w:val="Normal"/>
        <w:spacing w:lineRule="auto" w:line="360"/>
        <w:jc w:val="center"/>
        <w:rPr/>
      </w:pPr>
      <w:r>
        <w:rPr/>
        <mc:AlternateContent>
          <mc:Choice Requires="wps">
            <w:drawing>
              <wp:anchor behindDoc="0" distT="0" distB="0" distL="114300" distR="114300" simplePos="0" locked="0" layoutInCell="1" allowOverlap="1" relativeHeight="6" wp14:anchorId="20E40EF1">
                <wp:simplePos x="0" y="0"/>
                <wp:positionH relativeFrom="column">
                  <wp:posOffset>377825</wp:posOffset>
                </wp:positionH>
                <wp:positionV relativeFrom="paragraph">
                  <wp:posOffset>2247900</wp:posOffset>
                </wp:positionV>
                <wp:extent cx="4445" cy="4445"/>
                <wp:effectExtent l="57150" t="19050" r="76200" b="84455"/>
                <wp:wrapNone/>
                <wp:docPr id="7" name="Straight Connector 23"/>
                <a:graphic xmlns:a="http://schemas.openxmlformats.org/drawingml/2006/main">
                  <a:graphicData uri="http://schemas.microsoft.com/office/word/2010/wordprocessingShape">
                    <wps:wsp>
                      <wps:cNvSpPr/>
                      <wps:spPr>
                        <a:xfrm flipH="1">
                          <a:off x="0" y="0"/>
                          <a:ext cx="3240" cy="3240"/>
                        </a:xfrm>
                        <a:prstGeom prst="line">
                          <a:avLst/>
                        </a:prstGeom>
                        <a:ln>
                          <a:round/>
                        </a:ln>
                      </wps:spPr>
                      <wps:style>
                        <a:lnRef idx="2">
                          <a:schemeClr val="accent2"/>
                        </a:lnRef>
                        <a:fillRef idx="0">
                          <a:schemeClr val="accent2"/>
                        </a:fillRef>
                        <a:effectRef idx="1">
                          <a:schemeClr val="accent2"/>
                        </a:effectRef>
                        <a:fontRef idx="minor"/>
                      </wps:style>
                      <wps:bodyPr/>
                    </wps:wsp>
                  </a:graphicData>
                </a:graphic>
              </wp:anchor>
            </w:drawing>
          </mc:Choice>
          <mc:Fallback>
            <w:pict>
              <v:line id="shape_0" from="29.7pt,176.95pt" to="29.9pt,177.15pt" ID="Straight Connector 23" stroked="t" style="position:absolute;flip:x" wp14:anchorId="20E40EF1">
                <v:stroke color="#c0504d" weight="25560" joinstyle="round" endcap="flat"/>
                <v:fill o:detectmouseclick="t" on="false"/>
                <v:shadow on="t" obscured="f" color="black"/>
              </v:line>
            </w:pict>
          </mc:Fallback>
        </mc:AlternateContent>
      </w:r>
    </w:p>
    <w:p>
      <w:pPr>
        <w:pStyle w:val="Heading2"/>
        <w:rPr/>
      </w:pPr>
      <w:bookmarkStart w:id="26" w:name="_Toc475347832"/>
      <w:bookmarkEnd w:id="26"/>
      <w:r>
        <w:rPr/>
        <w:t xml:space="preserve">4.2 Reciklažna dvorišta / </w:t>
      </w:r>
      <w:r>
        <w:rPr/>
        <w:t>mobilna reciklažna dvorišta</w:t>
      </w:r>
    </w:p>
    <w:p>
      <w:pPr>
        <w:pStyle w:val="Normal"/>
        <w:rPr/>
      </w:pPr>
      <w:r>
        <w:rPr/>
      </w:r>
    </w:p>
    <w:p>
      <w:pPr>
        <w:pStyle w:val="Normal"/>
        <w:spacing w:lineRule="auto" w:line="276"/>
        <w:rPr/>
      </w:pPr>
      <w:r>
        <w:rPr>
          <w:rFonts w:cs="Arial"/>
        </w:rPr>
        <w:t xml:space="preserve">Prema čl. 35. Zakona o održivom gospodarenju otpadom, jedinica lokalne samouprave </w:t>
      </w:r>
      <w:r>
        <w:rPr>
          <w:rFonts w:cs="Arial"/>
          <w:color w:val="000000"/>
        </w:rPr>
        <w:t>koja ima više od 1.500 stanovnika dužna je osigurati funkcioniranje najmanje jednog reciklažnog dvorišta i još po jedno na svakih idućih 25.000 stanovnika na svojem području.</w:t>
      </w:r>
    </w:p>
    <w:p>
      <w:pPr>
        <w:pStyle w:val="Normal"/>
        <w:spacing w:lineRule="auto" w:line="276"/>
        <w:rPr/>
      </w:pPr>
      <w:r>
        <w:rPr>
          <w:rFonts w:cs="Arial"/>
          <w:color w:val="000000"/>
        </w:rPr>
        <w:t xml:space="preserve">Prema istome, </w:t>
      </w:r>
      <w:r>
        <w:rPr>
          <w:rFonts w:cs="Arial"/>
        </w:rPr>
        <w:t xml:space="preserve">na području Općina Dragalić nije u obvezi osigurati reciklažno dvorište, </w:t>
      </w:r>
      <w:r>
        <w:rPr>
          <w:rFonts w:cs="Arial"/>
        </w:rPr>
        <w:t>ali je u obvezi izgradnja mobilnog reciklažnog dvorišta.</w:t>
      </w:r>
    </w:p>
    <w:p>
      <w:pPr>
        <w:pStyle w:val="Normal"/>
        <w:spacing w:lineRule="auto" w:line="276"/>
        <w:rPr>
          <w:rFonts w:cs="Arial"/>
        </w:rPr>
      </w:pPr>
      <w:r>
        <w:rPr>
          <w:rFonts w:cs="Arial"/>
        </w:rPr>
      </w:r>
    </w:p>
    <w:p>
      <w:pPr>
        <w:pStyle w:val="Normal"/>
        <w:jc w:val="center"/>
        <w:rPr>
          <w:i/>
          <w:i/>
        </w:rPr>
      </w:pPr>
      <w:r>
        <w:rPr>
          <w:i/>
        </w:rPr>
        <w:t xml:space="preserve">Tablica 4.2 Plan izradnje  </w:t>
      </w:r>
      <w:r>
        <w:rPr>
          <w:i/>
        </w:rPr>
        <w:t xml:space="preserve">mobilnih </w:t>
      </w:r>
      <w:r>
        <w:rPr>
          <w:i/>
        </w:rPr>
        <w:t>reciklažnih dvorišta</w:t>
      </w:r>
    </w:p>
    <w:tbl>
      <w:tblPr>
        <w:tblStyle w:val="TableGrid"/>
        <w:tblW w:w="9289" w:type="dxa"/>
        <w:jc w:val="left"/>
        <w:tblInd w:w="-20" w:type="dxa"/>
        <w:tblCellMar>
          <w:top w:w="0" w:type="dxa"/>
          <w:left w:w="88" w:type="dxa"/>
          <w:bottom w:w="0" w:type="dxa"/>
          <w:right w:w="108" w:type="dxa"/>
        </w:tblCellMar>
        <w:tblLook w:firstRow="1" w:noVBand="1" w:lastRow="0" w:firstColumn="1" w:lastColumn="0" w:noHBand="0" w:val="04a0"/>
      </w:tblPr>
      <w:tblGrid>
        <w:gridCol w:w="2322"/>
        <w:gridCol w:w="2322"/>
        <w:gridCol w:w="2322"/>
        <w:gridCol w:w="2322"/>
      </w:tblGrid>
      <w:tr>
        <w:trPr/>
        <w:tc>
          <w:tcPr>
            <w:tcW w:w="2322" w:type="dxa"/>
            <w:tcBorders/>
            <w:shd w:color="auto" w:fill="auto" w:val="pct15"/>
            <w:tcMar>
              <w:left w:w="88" w:type="dxa"/>
            </w:tcMar>
            <w:vAlign w:val="center"/>
          </w:tcPr>
          <w:p>
            <w:pPr>
              <w:pStyle w:val="Normal"/>
              <w:spacing w:lineRule="auto" w:line="240" w:before="0" w:after="0"/>
              <w:jc w:val="center"/>
              <w:rPr>
                <w:rFonts w:cs="Arial"/>
                <w:b/>
                <w:b/>
              </w:rPr>
            </w:pPr>
            <w:r>
              <w:rPr>
                <w:rFonts w:cs="Arial"/>
                <w:b/>
              </w:rPr>
            </w:r>
          </w:p>
          <w:p>
            <w:pPr>
              <w:pStyle w:val="Normal"/>
              <w:spacing w:lineRule="auto" w:line="240" w:before="0" w:after="0"/>
              <w:jc w:val="center"/>
              <w:rPr>
                <w:rFonts w:cs="Arial"/>
                <w:b/>
                <w:b/>
              </w:rPr>
            </w:pPr>
            <w:r>
              <w:rPr>
                <w:rFonts w:cs="Arial"/>
                <w:b/>
              </w:rPr>
              <w:t>Lokacija</w:t>
            </w:r>
          </w:p>
          <w:p>
            <w:pPr>
              <w:pStyle w:val="Normal"/>
              <w:spacing w:lineRule="auto" w:line="240" w:before="0" w:after="0"/>
              <w:jc w:val="center"/>
              <w:rPr>
                <w:rFonts w:cs="Arial"/>
                <w:b/>
                <w:b/>
              </w:rPr>
            </w:pPr>
            <w:r>
              <w:rPr>
                <w:rFonts w:cs="Arial"/>
                <w:b/>
              </w:rPr>
            </w:r>
          </w:p>
        </w:tc>
        <w:tc>
          <w:tcPr>
            <w:tcW w:w="2322" w:type="dxa"/>
            <w:tcBorders/>
            <w:shd w:color="auto" w:fill="auto" w:val="pct15"/>
            <w:tcMar>
              <w:left w:w="88" w:type="dxa"/>
            </w:tcMar>
            <w:vAlign w:val="center"/>
          </w:tcPr>
          <w:p>
            <w:pPr>
              <w:pStyle w:val="Normal"/>
              <w:spacing w:lineRule="auto" w:line="240" w:before="0" w:after="0"/>
              <w:jc w:val="center"/>
              <w:rPr>
                <w:rFonts w:cs="Arial"/>
                <w:b/>
                <w:b/>
              </w:rPr>
            </w:pPr>
            <w:r>
              <w:rPr>
                <w:rFonts w:cs="Arial"/>
                <w:b/>
              </w:rPr>
              <w:t>Izgrađeno</w:t>
            </w:r>
          </w:p>
        </w:tc>
        <w:tc>
          <w:tcPr>
            <w:tcW w:w="2322" w:type="dxa"/>
            <w:tcBorders/>
            <w:shd w:color="auto" w:fill="auto" w:val="pct15"/>
            <w:tcMar>
              <w:left w:w="88" w:type="dxa"/>
            </w:tcMar>
            <w:vAlign w:val="center"/>
          </w:tcPr>
          <w:p>
            <w:pPr>
              <w:pStyle w:val="Normal"/>
              <w:spacing w:lineRule="auto" w:line="240" w:before="0" w:after="0"/>
              <w:jc w:val="center"/>
              <w:rPr>
                <w:rFonts w:cs="Arial"/>
                <w:b/>
                <w:b/>
              </w:rPr>
            </w:pPr>
            <w:r>
              <w:rPr>
                <w:rFonts w:cs="Arial"/>
                <w:b/>
              </w:rPr>
              <w:t>Planirano</w:t>
            </w:r>
          </w:p>
        </w:tc>
        <w:tc>
          <w:tcPr>
            <w:tcW w:w="2322" w:type="dxa"/>
            <w:tcBorders/>
            <w:shd w:color="auto" w:fill="auto" w:val="pct15"/>
            <w:tcMar>
              <w:left w:w="88" w:type="dxa"/>
            </w:tcMar>
            <w:vAlign w:val="center"/>
          </w:tcPr>
          <w:p>
            <w:pPr>
              <w:pStyle w:val="Normal"/>
              <w:spacing w:lineRule="auto" w:line="240" w:before="0" w:after="0"/>
              <w:jc w:val="center"/>
              <w:rPr>
                <w:rFonts w:cs="Arial"/>
                <w:b/>
                <w:b/>
              </w:rPr>
            </w:pPr>
            <w:r>
              <w:rPr>
                <w:rFonts w:cs="Arial"/>
                <w:b/>
              </w:rPr>
              <w:t>Godina izvršenja</w:t>
            </w:r>
          </w:p>
        </w:tc>
      </w:tr>
      <w:tr>
        <w:trPr/>
        <w:tc>
          <w:tcPr>
            <w:tcW w:w="2322"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pPr>
            <w:r>
              <w:rPr>
                <w:rFonts w:cs="Arial"/>
              </w:rPr>
              <w:t>Dragalić</w:t>
            </w:r>
          </w:p>
          <w:p>
            <w:pPr>
              <w:pStyle w:val="Normal"/>
              <w:spacing w:lineRule="auto" w:line="240" w:before="0" w:after="0"/>
              <w:jc w:val="center"/>
              <w:rPr>
                <w:rFonts w:cs="Arial"/>
              </w:rPr>
            </w:pPr>
            <w:r>
              <w:rPr>
                <w:rFonts w:cs="Arial"/>
              </w:rPr>
            </w:r>
          </w:p>
        </w:tc>
        <w:tc>
          <w:tcPr>
            <w:tcW w:w="2322" w:type="dxa"/>
            <w:tcBorders/>
            <w:shd w:fill="auto" w:val="clear"/>
            <w:tcMar>
              <w:left w:w="88" w:type="dxa"/>
            </w:tcMar>
            <w:vAlign w:val="center"/>
          </w:tcPr>
          <w:p>
            <w:pPr>
              <w:pStyle w:val="Normal"/>
              <w:spacing w:lineRule="auto" w:line="240" w:before="0" w:after="0"/>
              <w:jc w:val="center"/>
              <w:rPr>
                <w:rFonts w:cs="Arial"/>
              </w:rPr>
            </w:pPr>
            <w:r>
              <w:rPr>
                <w:rFonts w:cs="Arial"/>
              </w:rPr>
              <w:t>NE</w:t>
            </w:r>
          </w:p>
        </w:tc>
        <w:tc>
          <w:tcPr>
            <w:tcW w:w="2322" w:type="dxa"/>
            <w:tcBorders/>
            <w:shd w:fill="auto" w:val="clear"/>
            <w:tcMar>
              <w:left w:w="88" w:type="dxa"/>
            </w:tcMar>
            <w:vAlign w:val="center"/>
          </w:tcPr>
          <w:p>
            <w:pPr>
              <w:pStyle w:val="Normal"/>
              <w:spacing w:lineRule="auto" w:line="240" w:before="0" w:after="0"/>
              <w:jc w:val="center"/>
              <w:rPr>
                <w:rFonts w:cs="Arial"/>
              </w:rPr>
            </w:pPr>
            <w:r>
              <w:rPr>
                <w:rFonts w:cs="Arial"/>
              </w:rPr>
              <w:t>DA</w:t>
            </w:r>
          </w:p>
        </w:tc>
        <w:tc>
          <w:tcPr>
            <w:tcW w:w="2322" w:type="dxa"/>
            <w:tcBorders/>
            <w:shd w:fill="auto" w:val="clear"/>
            <w:tcMar>
              <w:left w:w="88" w:type="dxa"/>
            </w:tcMar>
            <w:vAlign w:val="center"/>
          </w:tcPr>
          <w:p>
            <w:pPr>
              <w:pStyle w:val="Normal"/>
              <w:spacing w:lineRule="auto" w:line="240" w:before="0" w:after="0"/>
              <w:jc w:val="center"/>
              <w:rPr>
                <w:rFonts w:cs="Arial"/>
              </w:rPr>
            </w:pPr>
            <w:r>
              <w:rPr>
                <w:rFonts w:cs="Arial"/>
              </w:rPr>
              <w:t>2018.</w:t>
            </w:r>
          </w:p>
        </w:tc>
      </w:tr>
    </w:tbl>
    <w:p>
      <w:pPr>
        <w:pStyle w:val="Normal"/>
        <w:jc w:val="center"/>
        <w:rPr/>
      </w:pPr>
      <w:r>
        <w:rPr/>
      </w:r>
    </w:p>
    <w:p>
      <w:pPr>
        <w:pStyle w:val="Normal"/>
        <w:rPr/>
      </w:pPr>
      <w:r>
        <w:rPr/>
      </w:r>
    </w:p>
    <w:p>
      <w:pPr>
        <w:pStyle w:val="Heading2"/>
        <w:rPr/>
      </w:pPr>
      <w:bookmarkStart w:id="27" w:name="_Toc475347833"/>
      <w:bookmarkEnd w:id="27"/>
      <w:r>
        <w:rPr/>
        <w:t>4.3 Zeleni otoci</w:t>
      </w:r>
    </w:p>
    <w:p>
      <w:pPr>
        <w:pStyle w:val="Normal"/>
        <w:rPr/>
      </w:pPr>
      <w:r>
        <w:rPr/>
      </w:r>
    </w:p>
    <w:p>
      <w:pPr>
        <w:pStyle w:val="Normal"/>
        <w:spacing w:lineRule="auto" w:line="276"/>
        <w:rPr/>
      </w:pPr>
      <w:r>
        <w:rPr>
          <w:rFonts w:cs="Arial"/>
        </w:rPr>
        <w:t xml:space="preserve">Na području Općine </w:t>
      </w:r>
      <w:r>
        <w:rPr>
          <w:rFonts w:cs="Arial"/>
        </w:rPr>
        <w:t>Dragalić</w:t>
      </w:r>
      <w:r>
        <w:rPr>
          <w:rFonts w:cs="Arial"/>
        </w:rPr>
        <w:t xml:space="preserve"> trenutno postoji </w:t>
      </w:r>
      <w:r>
        <w:rPr>
          <w:rFonts w:cs="Arial"/>
        </w:rPr>
        <w:t>12</w:t>
      </w:r>
      <w:r>
        <w:rPr>
          <w:rFonts w:cs="Arial"/>
        </w:rPr>
        <w:t xml:space="preserve"> zelenih otoka na kojima se odvojeno sakuplja otpadni papir, staklo i plastika, a nema lokacija na kojima su postavljeni i spremnici za </w:t>
      </w:r>
      <w:r>
        <w:rPr>
          <w:rFonts w:cs="Arial"/>
          <w:color w:val="FF0000"/>
        </w:rPr>
        <w:t>odlaganje otpadnog tekstila,</w:t>
      </w:r>
      <w:r>
        <w:rPr>
          <w:rFonts w:cs="Arial"/>
        </w:rPr>
        <w:t xml:space="preserve"> stare odjeće i obuće. </w:t>
      </w:r>
    </w:p>
    <w:p>
      <w:pPr>
        <w:pStyle w:val="Normal"/>
        <w:jc w:val="center"/>
        <w:rPr>
          <w:i/>
          <w:i/>
        </w:rPr>
      </w:pPr>
      <w:r>
        <w:rPr>
          <w:i/>
        </w:rPr>
        <w:t>Tablica 4.3 Lokacije zelenih otoka</w:t>
      </w:r>
    </w:p>
    <w:tbl>
      <w:tblPr>
        <w:tblStyle w:val="TableGrid"/>
        <w:tblW w:w="9289" w:type="dxa"/>
        <w:jc w:val="left"/>
        <w:tblInd w:w="-20" w:type="dxa"/>
        <w:tblCellMar>
          <w:top w:w="0" w:type="dxa"/>
          <w:left w:w="88" w:type="dxa"/>
          <w:bottom w:w="0" w:type="dxa"/>
          <w:right w:w="108" w:type="dxa"/>
        </w:tblCellMar>
        <w:tblLook w:firstRow="1" w:noVBand="1" w:lastRow="0" w:firstColumn="1" w:lastColumn="0" w:noHBand="0" w:val="04a0"/>
      </w:tblPr>
      <w:tblGrid>
        <w:gridCol w:w="1809"/>
        <w:gridCol w:w="1287"/>
        <w:gridCol w:w="1548"/>
        <w:gridCol w:w="1548"/>
        <w:gridCol w:w="1549"/>
        <w:gridCol w:w="1547"/>
      </w:tblGrid>
      <w:tr>
        <w:trPr/>
        <w:tc>
          <w:tcPr>
            <w:tcW w:w="1809" w:type="dxa"/>
            <w:tcBorders/>
            <w:shd w:color="auto" w:fill="auto" w:val="pct15"/>
            <w:tcMar>
              <w:left w:w="88" w:type="dxa"/>
            </w:tcMar>
            <w:vAlign w:val="center"/>
          </w:tcPr>
          <w:p>
            <w:pPr>
              <w:pStyle w:val="Normal"/>
              <w:spacing w:lineRule="auto" w:line="240" w:before="0" w:after="0"/>
              <w:jc w:val="center"/>
              <w:rPr/>
            </w:pPr>
            <w:r>
              <w:rPr/>
            </w:r>
          </w:p>
          <w:p>
            <w:pPr>
              <w:pStyle w:val="Normal"/>
              <w:spacing w:lineRule="auto" w:line="240" w:before="0" w:after="0"/>
              <w:jc w:val="center"/>
              <w:rPr>
                <w:b/>
                <w:b/>
              </w:rPr>
            </w:pPr>
            <w:r>
              <w:rPr>
                <w:b/>
              </w:rPr>
              <w:t>Naselje</w:t>
            </w:r>
          </w:p>
          <w:p>
            <w:pPr>
              <w:pStyle w:val="Normal"/>
              <w:spacing w:lineRule="auto" w:line="240" w:before="0" w:after="0"/>
              <w:jc w:val="center"/>
              <w:rPr/>
            </w:pPr>
            <w:r>
              <w:rPr/>
            </w:r>
          </w:p>
        </w:tc>
        <w:tc>
          <w:tcPr>
            <w:tcW w:w="1287" w:type="dxa"/>
            <w:tcBorders/>
            <w:shd w:color="auto" w:fill="auto" w:val="pct15"/>
            <w:tcMar>
              <w:left w:w="88" w:type="dxa"/>
            </w:tcMar>
            <w:vAlign w:val="center"/>
          </w:tcPr>
          <w:p>
            <w:pPr>
              <w:pStyle w:val="Normal"/>
              <w:spacing w:lineRule="auto" w:line="240" w:before="0" w:after="0"/>
              <w:jc w:val="center"/>
              <w:rPr>
                <w:b/>
                <w:b/>
              </w:rPr>
            </w:pPr>
            <w:r>
              <w:rPr>
                <w:b/>
              </w:rPr>
              <w:t>Papir</w:t>
            </w:r>
          </w:p>
        </w:tc>
        <w:tc>
          <w:tcPr>
            <w:tcW w:w="1548" w:type="dxa"/>
            <w:tcBorders/>
            <w:shd w:color="auto" w:fill="auto" w:val="pct15"/>
            <w:tcMar>
              <w:left w:w="88" w:type="dxa"/>
            </w:tcMar>
            <w:vAlign w:val="center"/>
          </w:tcPr>
          <w:p>
            <w:pPr>
              <w:pStyle w:val="Normal"/>
              <w:spacing w:lineRule="auto" w:line="240" w:before="0" w:after="0"/>
              <w:jc w:val="center"/>
              <w:rPr>
                <w:b/>
                <w:b/>
              </w:rPr>
            </w:pPr>
            <w:r>
              <w:rPr>
                <w:b/>
              </w:rPr>
              <w:t>Plastika</w:t>
            </w:r>
          </w:p>
        </w:tc>
        <w:tc>
          <w:tcPr>
            <w:tcW w:w="1548" w:type="dxa"/>
            <w:tcBorders/>
            <w:shd w:color="auto" w:fill="auto" w:val="pct15"/>
            <w:tcMar>
              <w:left w:w="88" w:type="dxa"/>
            </w:tcMar>
            <w:vAlign w:val="center"/>
          </w:tcPr>
          <w:p>
            <w:pPr>
              <w:pStyle w:val="Normal"/>
              <w:spacing w:lineRule="auto" w:line="240" w:before="0" w:after="0"/>
              <w:jc w:val="center"/>
              <w:rPr>
                <w:b/>
                <w:b/>
              </w:rPr>
            </w:pPr>
            <w:r>
              <w:rPr>
                <w:b/>
              </w:rPr>
              <w:t>Staklo</w:t>
            </w:r>
          </w:p>
        </w:tc>
        <w:tc>
          <w:tcPr>
            <w:tcW w:w="1549" w:type="dxa"/>
            <w:tcBorders/>
            <w:shd w:color="auto" w:fill="auto" w:val="pct15"/>
            <w:tcMar>
              <w:left w:w="88" w:type="dxa"/>
            </w:tcMar>
            <w:vAlign w:val="center"/>
          </w:tcPr>
          <w:p>
            <w:pPr>
              <w:pStyle w:val="Normal"/>
              <w:spacing w:lineRule="auto" w:line="240" w:before="0" w:after="0"/>
              <w:jc w:val="center"/>
              <w:rPr>
                <w:b/>
                <w:b/>
              </w:rPr>
            </w:pPr>
            <w:r>
              <w:rPr>
                <w:b/>
              </w:rPr>
              <w:t>Metal</w:t>
            </w:r>
          </w:p>
        </w:tc>
        <w:tc>
          <w:tcPr>
            <w:tcW w:w="1547" w:type="dxa"/>
            <w:tcBorders/>
            <w:shd w:color="auto" w:fill="auto" w:val="pct15"/>
            <w:tcMar>
              <w:left w:w="88" w:type="dxa"/>
            </w:tcMar>
            <w:vAlign w:val="center"/>
          </w:tcPr>
          <w:p>
            <w:pPr>
              <w:pStyle w:val="Normal"/>
              <w:spacing w:lineRule="auto" w:line="240" w:before="0" w:after="0"/>
              <w:jc w:val="center"/>
              <w:rPr>
                <w:b/>
                <w:b/>
              </w:rPr>
            </w:pPr>
            <w:r>
              <w:rPr>
                <w:b/>
              </w:rPr>
              <w:t>Tekstil</w:t>
            </w:r>
          </w:p>
        </w:tc>
      </w:tr>
      <w:tr>
        <w:trPr/>
        <w:tc>
          <w:tcPr>
            <w:tcW w:w="1809" w:type="dxa"/>
            <w:tcBorders/>
            <w:shd w:fill="auto" w:val="clear"/>
            <w:tcMar>
              <w:left w:w="88" w:type="dxa"/>
            </w:tcMar>
            <w:vAlign w:val="center"/>
          </w:tcPr>
          <w:p>
            <w:pPr>
              <w:pStyle w:val="Normal"/>
              <w:spacing w:lineRule="auto" w:line="240" w:before="0" w:after="0"/>
              <w:jc w:val="center"/>
              <w:rPr/>
            </w:pPr>
            <w:r>
              <w:rPr/>
            </w:r>
          </w:p>
          <w:p>
            <w:pPr>
              <w:pStyle w:val="Normal"/>
              <w:spacing w:lineRule="auto" w:line="240" w:before="0" w:after="0"/>
              <w:jc w:val="center"/>
              <w:rPr/>
            </w:pPr>
            <w:r>
              <w:rPr/>
              <w:t>Dragalić</w:t>
            </w:r>
          </w:p>
          <w:p>
            <w:pPr>
              <w:pStyle w:val="Normal"/>
              <w:spacing w:lineRule="auto" w:line="240" w:before="0" w:after="0"/>
              <w:jc w:val="center"/>
              <w:rPr/>
            </w:pPr>
            <w:r>
              <w:rPr/>
            </w:r>
          </w:p>
        </w:tc>
        <w:tc>
          <w:tcPr>
            <w:tcW w:w="1287" w:type="dxa"/>
            <w:tcBorders/>
            <w:shd w:fill="auto" w:val="clear"/>
            <w:tcMar>
              <w:left w:w="88" w:type="dxa"/>
            </w:tcMar>
            <w:vAlign w:val="center"/>
          </w:tcPr>
          <w:p>
            <w:pPr>
              <w:pStyle w:val="Normal"/>
              <w:spacing w:lineRule="auto" w:line="240" w:before="0" w:after="0"/>
              <w:jc w:val="center"/>
              <w:rPr/>
            </w:pPr>
            <w:r>
              <w:rPr>
                <w:sz w:val="28"/>
              </w:rPr>
              <w:t>+</w:t>
            </w:r>
          </w:p>
        </w:tc>
        <w:tc>
          <w:tcPr>
            <w:tcW w:w="1548" w:type="dxa"/>
            <w:tcBorders/>
            <w:shd w:fill="auto" w:val="clear"/>
            <w:tcMar>
              <w:left w:w="88" w:type="dxa"/>
            </w:tcMar>
            <w:vAlign w:val="center"/>
          </w:tcPr>
          <w:p>
            <w:pPr>
              <w:pStyle w:val="Normal"/>
              <w:spacing w:lineRule="auto" w:line="240" w:before="0" w:after="0"/>
              <w:jc w:val="center"/>
              <w:rPr/>
            </w:pPr>
            <w:r>
              <w:rPr>
                <w:sz w:val="28"/>
              </w:rPr>
              <w:t>+</w:t>
            </w:r>
          </w:p>
        </w:tc>
        <w:tc>
          <w:tcPr>
            <w:tcW w:w="1548" w:type="dxa"/>
            <w:tcBorders/>
            <w:shd w:fill="auto" w:val="clear"/>
            <w:tcMar>
              <w:left w:w="88" w:type="dxa"/>
            </w:tcMar>
            <w:vAlign w:val="center"/>
          </w:tcPr>
          <w:p>
            <w:pPr>
              <w:pStyle w:val="Normal"/>
              <w:spacing w:lineRule="auto" w:line="240" w:before="0" w:after="0"/>
              <w:jc w:val="center"/>
              <w:rPr/>
            </w:pPr>
            <w:r>
              <w:rPr>
                <w:sz w:val="28"/>
              </w:rPr>
              <w:t>+</w:t>
            </w:r>
          </w:p>
        </w:tc>
        <w:tc>
          <w:tcPr>
            <w:tcW w:w="1549" w:type="dxa"/>
            <w:tcBorders/>
            <w:shd w:fill="auto" w:val="clear"/>
            <w:tcMar>
              <w:left w:w="88" w:type="dxa"/>
            </w:tcMar>
            <w:vAlign w:val="center"/>
          </w:tcPr>
          <w:p>
            <w:pPr>
              <w:pStyle w:val="Normal"/>
              <w:spacing w:lineRule="auto" w:line="240" w:before="0" w:after="0"/>
              <w:jc w:val="center"/>
              <w:rPr/>
            </w:pPr>
            <w:r>
              <w:rPr>
                <w:sz w:val="28"/>
              </w:rPr>
              <w:t>-</w:t>
            </w:r>
          </w:p>
        </w:tc>
        <w:tc>
          <w:tcPr>
            <w:tcW w:w="1547" w:type="dxa"/>
            <w:tcBorders/>
            <w:shd w:fill="auto" w:val="clear"/>
            <w:tcMar>
              <w:left w:w="88" w:type="dxa"/>
            </w:tcMar>
            <w:vAlign w:val="center"/>
          </w:tcPr>
          <w:p>
            <w:pPr>
              <w:pStyle w:val="Normal"/>
              <w:spacing w:lineRule="auto" w:line="240" w:before="0" w:after="0"/>
              <w:jc w:val="center"/>
              <w:rPr/>
            </w:pPr>
            <w:r>
              <w:rPr>
                <w:sz w:val="28"/>
              </w:rPr>
              <w:t>-</w:t>
            </w:r>
          </w:p>
        </w:tc>
      </w:tr>
      <w:tr>
        <w:trPr/>
        <w:tc>
          <w:tcPr>
            <w:tcW w:w="1809" w:type="dxa"/>
            <w:tcBorders/>
            <w:shd w:fill="auto" w:val="clear"/>
            <w:tcMar>
              <w:left w:w="88" w:type="dxa"/>
            </w:tcMar>
            <w:vAlign w:val="center"/>
          </w:tcPr>
          <w:p>
            <w:pPr>
              <w:pStyle w:val="Normal"/>
              <w:spacing w:lineRule="auto" w:line="240" w:before="0" w:after="0"/>
              <w:jc w:val="center"/>
              <w:rPr/>
            </w:pPr>
            <w:r>
              <w:rPr/>
            </w:r>
          </w:p>
          <w:p>
            <w:pPr>
              <w:pStyle w:val="Normal"/>
              <w:spacing w:lineRule="auto" w:line="240" w:before="0" w:after="0"/>
              <w:jc w:val="center"/>
              <w:rPr/>
            </w:pPr>
            <w:r>
              <w:rPr/>
              <w:t>Donji Bogičevci</w:t>
            </w:r>
          </w:p>
          <w:p>
            <w:pPr>
              <w:pStyle w:val="Normal"/>
              <w:spacing w:lineRule="auto" w:line="240" w:before="0" w:after="0"/>
              <w:jc w:val="center"/>
              <w:rPr/>
            </w:pPr>
            <w:r>
              <w:rPr/>
            </w:r>
          </w:p>
        </w:tc>
        <w:tc>
          <w:tcPr>
            <w:tcW w:w="1287" w:type="dxa"/>
            <w:tcBorders/>
            <w:shd w:fill="auto" w:val="clear"/>
            <w:tcMar>
              <w:left w:w="88" w:type="dxa"/>
            </w:tcMar>
            <w:vAlign w:val="center"/>
          </w:tcPr>
          <w:p>
            <w:pPr>
              <w:pStyle w:val="Normal"/>
              <w:spacing w:lineRule="auto" w:line="240" w:before="0" w:after="0"/>
              <w:jc w:val="center"/>
              <w:rPr/>
            </w:pPr>
            <w:r>
              <w:rPr>
                <w:sz w:val="28"/>
              </w:rPr>
              <w:t>+</w:t>
            </w:r>
          </w:p>
        </w:tc>
        <w:tc>
          <w:tcPr>
            <w:tcW w:w="1548" w:type="dxa"/>
            <w:tcBorders/>
            <w:shd w:fill="auto" w:val="clear"/>
            <w:tcMar>
              <w:left w:w="88" w:type="dxa"/>
            </w:tcMar>
            <w:vAlign w:val="center"/>
          </w:tcPr>
          <w:p>
            <w:pPr>
              <w:pStyle w:val="Normal"/>
              <w:spacing w:lineRule="auto" w:line="240" w:before="0" w:after="0"/>
              <w:jc w:val="center"/>
              <w:rPr/>
            </w:pPr>
            <w:r>
              <w:rPr>
                <w:sz w:val="28"/>
              </w:rPr>
              <w:t>+</w:t>
            </w:r>
          </w:p>
        </w:tc>
        <w:tc>
          <w:tcPr>
            <w:tcW w:w="1548" w:type="dxa"/>
            <w:tcBorders/>
            <w:shd w:fill="auto" w:val="clear"/>
            <w:tcMar>
              <w:left w:w="88" w:type="dxa"/>
            </w:tcMar>
            <w:vAlign w:val="center"/>
          </w:tcPr>
          <w:p>
            <w:pPr>
              <w:pStyle w:val="Normal"/>
              <w:spacing w:lineRule="auto" w:line="240" w:before="0" w:after="0"/>
              <w:jc w:val="center"/>
              <w:rPr/>
            </w:pPr>
            <w:r>
              <w:rPr>
                <w:sz w:val="28"/>
              </w:rPr>
              <w:t>+</w:t>
            </w:r>
          </w:p>
        </w:tc>
        <w:tc>
          <w:tcPr>
            <w:tcW w:w="1549" w:type="dxa"/>
            <w:tcBorders/>
            <w:shd w:fill="auto" w:val="clear"/>
            <w:tcMar>
              <w:left w:w="88" w:type="dxa"/>
            </w:tcMar>
            <w:vAlign w:val="center"/>
          </w:tcPr>
          <w:p>
            <w:pPr>
              <w:pStyle w:val="Normal"/>
              <w:spacing w:lineRule="auto" w:line="240" w:before="0" w:after="0"/>
              <w:jc w:val="center"/>
              <w:rPr/>
            </w:pPr>
            <w:r>
              <w:rPr>
                <w:sz w:val="28"/>
              </w:rPr>
              <w:t>-</w:t>
            </w:r>
          </w:p>
        </w:tc>
        <w:tc>
          <w:tcPr>
            <w:tcW w:w="1547" w:type="dxa"/>
            <w:tcBorders/>
            <w:shd w:fill="auto" w:val="clear"/>
            <w:tcMar>
              <w:left w:w="88" w:type="dxa"/>
            </w:tcMar>
            <w:vAlign w:val="center"/>
          </w:tcPr>
          <w:p>
            <w:pPr>
              <w:pStyle w:val="Normal"/>
              <w:spacing w:lineRule="auto" w:line="240" w:before="0" w:after="0"/>
              <w:jc w:val="center"/>
              <w:rPr/>
            </w:pPr>
            <w:r>
              <w:rPr>
                <w:sz w:val="28"/>
              </w:rPr>
              <w:t>-</w:t>
            </w:r>
          </w:p>
        </w:tc>
      </w:tr>
      <w:tr>
        <w:trPr/>
        <w:tc>
          <w:tcPr>
            <w:tcW w:w="1809" w:type="dxa"/>
            <w:tcBorders/>
            <w:shd w:fill="auto" w:val="clear"/>
            <w:tcMar>
              <w:left w:w="88" w:type="dxa"/>
            </w:tcMar>
            <w:vAlign w:val="center"/>
          </w:tcPr>
          <w:p>
            <w:pPr>
              <w:pStyle w:val="Normal"/>
              <w:spacing w:lineRule="auto" w:line="240" w:before="0" w:after="0"/>
              <w:jc w:val="center"/>
              <w:rPr/>
            </w:pPr>
            <w:r>
              <w:rPr/>
            </w:r>
          </w:p>
          <w:p>
            <w:pPr>
              <w:pStyle w:val="Normal"/>
              <w:spacing w:lineRule="auto" w:line="240" w:before="0" w:after="0"/>
              <w:jc w:val="center"/>
              <w:rPr/>
            </w:pPr>
            <w:r>
              <w:rPr/>
              <w:t>Gorice</w:t>
            </w:r>
          </w:p>
          <w:p>
            <w:pPr>
              <w:pStyle w:val="Normal"/>
              <w:spacing w:lineRule="auto" w:line="240" w:before="0" w:after="0"/>
              <w:jc w:val="center"/>
              <w:rPr/>
            </w:pPr>
            <w:r>
              <w:rPr/>
            </w:r>
          </w:p>
        </w:tc>
        <w:tc>
          <w:tcPr>
            <w:tcW w:w="1287" w:type="dxa"/>
            <w:tcBorders/>
            <w:shd w:fill="auto" w:val="clear"/>
            <w:tcMar>
              <w:left w:w="88" w:type="dxa"/>
            </w:tcMar>
            <w:vAlign w:val="center"/>
          </w:tcPr>
          <w:p>
            <w:pPr>
              <w:pStyle w:val="Normal"/>
              <w:spacing w:lineRule="auto" w:line="240" w:before="0" w:after="0"/>
              <w:jc w:val="center"/>
              <w:rPr/>
            </w:pPr>
            <w:r>
              <w:rPr>
                <w:sz w:val="28"/>
              </w:rPr>
              <w:t>+</w:t>
            </w:r>
          </w:p>
        </w:tc>
        <w:tc>
          <w:tcPr>
            <w:tcW w:w="1548" w:type="dxa"/>
            <w:tcBorders/>
            <w:shd w:fill="auto" w:val="clear"/>
            <w:tcMar>
              <w:left w:w="88" w:type="dxa"/>
            </w:tcMar>
            <w:vAlign w:val="center"/>
          </w:tcPr>
          <w:p>
            <w:pPr>
              <w:pStyle w:val="Normal"/>
              <w:spacing w:lineRule="auto" w:line="240" w:before="0" w:after="0"/>
              <w:jc w:val="center"/>
              <w:rPr/>
            </w:pPr>
            <w:r>
              <w:rPr>
                <w:sz w:val="28"/>
              </w:rPr>
              <w:t>+</w:t>
            </w:r>
          </w:p>
        </w:tc>
        <w:tc>
          <w:tcPr>
            <w:tcW w:w="1548" w:type="dxa"/>
            <w:tcBorders/>
            <w:shd w:fill="auto" w:val="clear"/>
            <w:tcMar>
              <w:left w:w="88" w:type="dxa"/>
            </w:tcMar>
            <w:vAlign w:val="center"/>
          </w:tcPr>
          <w:p>
            <w:pPr>
              <w:pStyle w:val="Normal"/>
              <w:spacing w:lineRule="auto" w:line="240" w:before="0" w:after="0"/>
              <w:jc w:val="center"/>
              <w:rPr/>
            </w:pPr>
            <w:r>
              <w:rPr>
                <w:sz w:val="28"/>
              </w:rPr>
              <w:t>+</w:t>
            </w:r>
          </w:p>
        </w:tc>
        <w:tc>
          <w:tcPr>
            <w:tcW w:w="1549" w:type="dxa"/>
            <w:tcBorders/>
            <w:shd w:fill="auto" w:val="clear"/>
            <w:tcMar>
              <w:left w:w="88" w:type="dxa"/>
            </w:tcMar>
            <w:vAlign w:val="center"/>
          </w:tcPr>
          <w:p>
            <w:pPr>
              <w:pStyle w:val="Normal"/>
              <w:spacing w:lineRule="auto" w:line="240" w:before="0" w:after="0"/>
              <w:jc w:val="center"/>
              <w:rPr/>
            </w:pPr>
            <w:r>
              <w:rPr>
                <w:sz w:val="28"/>
              </w:rPr>
              <w:t>-</w:t>
            </w:r>
          </w:p>
        </w:tc>
        <w:tc>
          <w:tcPr>
            <w:tcW w:w="1547" w:type="dxa"/>
            <w:tcBorders/>
            <w:shd w:fill="auto" w:val="clear"/>
            <w:tcMar>
              <w:left w:w="88" w:type="dxa"/>
            </w:tcMar>
            <w:vAlign w:val="center"/>
          </w:tcPr>
          <w:p>
            <w:pPr>
              <w:pStyle w:val="Normal"/>
              <w:spacing w:lineRule="auto" w:line="240" w:before="0" w:after="0"/>
              <w:jc w:val="center"/>
              <w:rPr/>
            </w:pPr>
            <w:r>
              <w:rPr>
                <w:sz w:val="28"/>
              </w:rPr>
              <w:t>-</w:t>
            </w:r>
          </w:p>
        </w:tc>
      </w:tr>
      <w:tr>
        <w:trPr/>
        <w:tc>
          <w:tcPr>
            <w:tcW w:w="1809" w:type="dxa"/>
            <w:tcBorders/>
            <w:shd w:fill="auto" w:val="clear"/>
            <w:tcMar>
              <w:left w:w="88" w:type="dxa"/>
            </w:tcMar>
            <w:vAlign w:val="center"/>
          </w:tcPr>
          <w:p>
            <w:pPr>
              <w:pStyle w:val="Normal"/>
              <w:spacing w:lineRule="auto" w:line="240" w:before="0" w:after="0"/>
              <w:jc w:val="center"/>
              <w:rPr/>
            </w:pPr>
            <w:r>
              <w:rPr/>
            </w:r>
          </w:p>
          <w:p>
            <w:pPr>
              <w:pStyle w:val="Normal"/>
              <w:spacing w:lineRule="auto" w:line="240" w:before="0" w:after="0"/>
              <w:jc w:val="center"/>
              <w:rPr/>
            </w:pPr>
            <w:r>
              <w:rPr/>
              <w:t>Mašić</w:t>
            </w:r>
          </w:p>
          <w:p>
            <w:pPr>
              <w:pStyle w:val="Normal"/>
              <w:spacing w:lineRule="auto" w:line="240" w:before="0" w:after="0"/>
              <w:jc w:val="center"/>
              <w:rPr/>
            </w:pPr>
            <w:r>
              <w:rPr/>
            </w:r>
          </w:p>
        </w:tc>
        <w:tc>
          <w:tcPr>
            <w:tcW w:w="1287" w:type="dxa"/>
            <w:tcBorders/>
            <w:shd w:fill="auto" w:val="clear"/>
            <w:tcMar>
              <w:left w:w="88" w:type="dxa"/>
            </w:tcMar>
            <w:vAlign w:val="center"/>
          </w:tcPr>
          <w:p>
            <w:pPr>
              <w:pStyle w:val="Normal"/>
              <w:spacing w:lineRule="auto" w:line="240" w:before="0" w:after="0"/>
              <w:jc w:val="center"/>
              <w:rPr/>
            </w:pPr>
            <w:r>
              <w:rPr>
                <w:sz w:val="28"/>
              </w:rPr>
              <w:t>+</w:t>
            </w:r>
          </w:p>
        </w:tc>
        <w:tc>
          <w:tcPr>
            <w:tcW w:w="1548" w:type="dxa"/>
            <w:tcBorders/>
            <w:shd w:fill="auto" w:val="clear"/>
            <w:tcMar>
              <w:left w:w="88" w:type="dxa"/>
            </w:tcMar>
            <w:vAlign w:val="center"/>
          </w:tcPr>
          <w:p>
            <w:pPr>
              <w:pStyle w:val="Normal"/>
              <w:spacing w:lineRule="auto" w:line="240" w:before="0" w:after="0"/>
              <w:jc w:val="center"/>
              <w:rPr/>
            </w:pPr>
            <w:r>
              <w:rPr>
                <w:sz w:val="28"/>
              </w:rPr>
              <w:t>+</w:t>
            </w:r>
          </w:p>
        </w:tc>
        <w:tc>
          <w:tcPr>
            <w:tcW w:w="1548" w:type="dxa"/>
            <w:tcBorders/>
            <w:shd w:fill="auto" w:val="clear"/>
            <w:tcMar>
              <w:left w:w="88" w:type="dxa"/>
            </w:tcMar>
            <w:vAlign w:val="center"/>
          </w:tcPr>
          <w:p>
            <w:pPr>
              <w:pStyle w:val="Normal"/>
              <w:spacing w:lineRule="auto" w:line="240" w:before="0" w:after="0"/>
              <w:jc w:val="center"/>
              <w:rPr/>
            </w:pPr>
            <w:r>
              <w:rPr>
                <w:sz w:val="28"/>
              </w:rPr>
              <w:t>+</w:t>
            </w:r>
          </w:p>
        </w:tc>
        <w:tc>
          <w:tcPr>
            <w:tcW w:w="1549" w:type="dxa"/>
            <w:tcBorders/>
            <w:shd w:fill="auto" w:val="clear"/>
            <w:tcMar>
              <w:left w:w="88" w:type="dxa"/>
            </w:tcMar>
            <w:vAlign w:val="center"/>
          </w:tcPr>
          <w:p>
            <w:pPr>
              <w:pStyle w:val="Normal"/>
              <w:spacing w:lineRule="auto" w:line="240" w:before="0" w:after="0"/>
              <w:jc w:val="center"/>
              <w:rPr/>
            </w:pPr>
            <w:r>
              <w:rPr>
                <w:sz w:val="28"/>
              </w:rPr>
              <w:t>-</w:t>
            </w:r>
          </w:p>
        </w:tc>
        <w:tc>
          <w:tcPr>
            <w:tcW w:w="1547" w:type="dxa"/>
            <w:tcBorders/>
            <w:shd w:fill="auto" w:val="clear"/>
            <w:tcMar>
              <w:left w:w="88" w:type="dxa"/>
            </w:tcMar>
            <w:vAlign w:val="center"/>
          </w:tcPr>
          <w:p>
            <w:pPr>
              <w:pStyle w:val="Normal"/>
              <w:spacing w:lineRule="auto" w:line="240" w:before="0" w:after="0"/>
              <w:jc w:val="center"/>
              <w:rPr/>
            </w:pPr>
            <w:r>
              <w:rPr>
                <w:sz w:val="28"/>
              </w:rPr>
              <w:t>-</w:t>
            </w:r>
          </w:p>
        </w:tc>
      </w:tr>
      <w:tr>
        <w:trPr/>
        <w:tc>
          <w:tcPr>
            <w:tcW w:w="1809" w:type="dxa"/>
            <w:tcBorders/>
            <w:shd w:fill="auto" w:val="clear"/>
            <w:tcMar>
              <w:left w:w="88" w:type="dxa"/>
            </w:tcMar>
            <w:vAlign w:val="center"/>
          </w:tcPr>
          <w:p>
            <w:pPr>
              <w:pStyle w:val="Normal"/>
              <w:spacing w:lineRule="auto" w:line="240" w:before="0" w:after="0"/>
              <w:jc w:val="center"/>
              <w:rPr/>
            </w:pPr>
            <w:r>
              <w:rPr/>
            </w:r>
          </w:p>
          <w:p>
            <w:pPr>
              <w:pStyle w:val="Normal"/>
              <w:spacing w:lineRule="auto" w:line="240" w:before="0" w:after="0"/>
              <w:jc w:val="center"/>
              <w:rPr/>
            </w:pPr>
            <w:r>
              <w:rPr/>
              <w:t>Medari</w:t>
            </w:r>
          </w:p>
          <w:p>
            <w:pPr>
              <w:pStyle w:val="Normal"/>
              <w:spacing w:lineRule="auto" w:line="240" w:before="0" w:after="0"/>
              <w:jc w:val="center"/>
              <w:rPr/>
            </w:pPr>
            <w:r>
              <w:rPr/>
            </w:r>
          </w:p>
        </w:tc>
        <w:tc>
          <w:tcPr>
            <w:tcW w:w="1287" w:type="dxa"/>
            <w:tcBorders/>
            <w:shd w:fill="auto" w:val="clear"/>
            <w:tcMar>
              <w:left w:w="88" w:type="dxa"/>
            </w:tcMar>
            <w:vAlign w:val="center"/>
          </w:tcPr>
          <w:p>
            <w:pPr>
              <w:pStyle w:val="Normal"/>
              <w:spacing w:lineRule="auto" w:line="240" w:before="0" w:after="0"/>
              <w:jc w:val="center"/>
              <w:rPr/>
            </w:pPr>
            <w:r>
              <w:rPr>
                <w:sz w:val="28"/>
              </w:rPr>
              <w:t>+</w:t>
            </w:r>
          </w:p>
        </w:tc>
        <w:tc>
          <w:tcPr>
            <w:tcW w:w="1548" w:type="dxa"/>
            <w:tcBorders/>
            <w:shd w:fill="auto" w:val="clear"/>
            <w:tcMar>
              <w:left w:w="88" w:type="dxa"/>
            </w:tcMar>
            <w:vAlign w:val="center"/>
          </w:tcPr>
          <w:p>
            <w:pPr>
              <w:pStyle w:val="Normal"/>
              <w:spacing w:lineRule="auto" w:line="240" w:before="0" w:after="0"/>
              <w:jc w:val="center"/>
              <w:rPr/>
            </w:pPr>
            <w:r>
              <w:rPr>
                <w:sz w:val="28"/>
              </w:rPr>
              <w:t>+</w:t>
            </w:r>
          </w:p>
        </w:tc>
        <w:tc>
          <w:tcPr>
            <w:tcW w:w="1548" w:type="dxa"/>
            <w:tcBorders/>
            <w:shd w:fill="auto" w:val="clear"/>
            <w:tcMar>
              <w:left w:w="88" w:type="dxa"/>
            </w:tcMar>
            <w:vAlign w:val="center"/>
          </w:tcPr>
          <w:p>
            <w:pPr>
              <w:pStyle w:val="Normal"/>
              <w:spacing w:lineRule="auto" w:line="240" w:before="0" w:after="0"/>
              <w:jc w:val="center"/>
              <w:rPr/>
            </w:pPr>
            <w:r>
              <w:rPr>
                <w:sz w:val="28"/>
              </w:rPr>
              <w:t>+</w:t>
            </w:r>
          </w:p>
        </w:tc>
        <w:tc>
          <w:tcPr>
            <w:tcW w:w="1549" w:type="dxa"/>
            <w:tcBorders/>
            <w:shd w:fill="auto" w:val="clear"/>
            <w:tcMar>
              <w:left w:w="88" w:type="dxa"/>
            </w:tcMar>
            <w:vAlign w:val="center"/>
          </w:tcPr>
          <w:p>
            <w:pPr>
              <w:pStyle w:val="Normal"/>
              <w:spacing w:lineRule="auto" w:line="240" w:before="0" w:after="0"/>
              <w:jc w:val="center"/>
              <w:rPr/>
            </w:pPr>
            <w:r>
              <w:rPr>
                <w:sz w:val="28"/>
              </w:rPr>
              <w:t>-</w:t>
            </w:r>
          </w:p>
        </w:tc>
        <w:tc>
          <w:tcPr>
            <w:tcW w:w="1547" w:type="dxa"/>
            <w:tcBorders/>
            <w:shd w:fill="auto" w:val="clear"/>
            <w:tcMar>
              <w:left w:w="88" w:type="dxa"/>
            </w:tcMar>
            <w:vAlign w:val="center"/>
          </w:tcPr>
          <w:p>
            <w:pPr>
              <w:pStyle w:val="Normal"/>
              <w:spacing w:lineRule="auto" w:line="240" w:before="0" w:after="0"/>
              <w:jc w:val="center"/>
              <w:rPr/>
            </w:pPr>
            <w:r>
              <w:rPr>
                <w:sz w:val="28"/>
              </w:rPr>
              <w:t>-</w:t>
            </w:r>
          </w:p>
        </w:tc>
      </w:tr>
      <w:tr>
        <w:trPr/>
        <w:tc>
          <w:tcPr>
            <w:tcW w:w="1809" w:type="dxa"/>
            <w:tcBorders/>
            <w:shd w:fill="auto" w:val="clear"/>
            <w:tcMar>
              <w:left w:w="88" w:type="dxa"/>
            </w:tcMar>
            <w:vAlign w:val="center"/>
          </w:tcPr>
          <w:p>
            <w:pPr>
              <w:pStyle w:val="Normal"/>
              <w:spacing w:lineRule="auto" w:line="240" w:before="0" w:after="0"/>
              <w:jc w:val="center"/>
              <w:rPr/>
            </w:pPr>
            <w:r>
              <w:rPr/>
            </w:r>
          </w:p>
          <w:p>
            <w:pPr>
              <w:pStyle w:val="Normal"/>
              <w:spacing w:lineRule="auto" w:line="240" w:before="0" w:after="0"/>
              <w:jc w:val="center"/>
              <w:rPr/>
            </w:pPr>
            <w:r>
              <w:rPr/>
              <w:t>Poljane</w:t>
            </w:r>
          </w:p>
          <w:p>
            <w:pPr>
              <w:pStyle w:val="Normal"/>
              <w:spacing w:lineRule="auto" w:line="240" w:before="0" w:after="0"/>
              <w:jc w:val="center"/>
              <w:rPr/>
            </w:pPr>
            <w:r>
              <w:rPr/>
            </w:r>
          </w:p>
        </w:tc>
        <w:tc>
          <w:tcPr>
            <w:tcW w:w="1287" w:type="dxa"/>
            <w:tcBorders/>
            <w:shd w:fill="auto" w:val="clear"/>
            <w:tcMar>
              <w:left w:w="88" w:type="dxa"/>
            </w:tcMar>
            <w:vAlign w:val="center"/>
          </w:tcPr>
          <w:p>
            <w:pPr>
              <w:pStyle w:val="Normal"/>
              <w:spacing w:lineRule="auto" w:line="240" w:before="0" w:after="0"/>
              <w:jc w:val="center"/>
              <w:rPr/>
            </w:pPr>
            <w:r>
              <w:rPr>
                <w:sz w:val="28"/>
              </w:rPr>
              <w:t>+</w:t>
            </w:r>
          </w:p>
        </w:tc>
        <w:tc>
          <w:tcPr>
            <w:tcW w:w="1548" w:type="dxa"/>
            <w:tcBorders/>
            <w:shd w:fill="auto" w:val="clear"/>
            <w:tcMar>
              <w:left w:w="88" w:type="dxa"/>
            </w:tcMar>
            <w:vAlign w:val="center"/>
          </w:tcPr>
          <w:p>
            <w:pPr>
              <w:pStyle w:val="Normal"/>
              <w:spacing w:lineRule="auto" w:line="240" w:before="0" w:after="0"/>
              <w:jc w:val="center"/>
              <w:rPr/>
            </w:pPr>
            <w:r>
              <w:rPr>
                <w:sz w:val="28"/>
              </w:rPr>
              <w:t>+</w:t>
            </w:r>
          </w:p>
        </w:tc>
        <w:tc>
          <w:tcPr>
            <w:tcW w:w="1548" w:type="dxa"/>
            <w:tcBorders/>
            <w:shd w:fill="auto" w:val="clear"/>
            <w:tcMar>
              <w:left w:w="88" w:type="dxa"/>
            </w:tcMar>
            <w:vAlign w:val="center"/>
          </w:tcPr>
          <w:p>
            <w:pPr>
              <w:pStyle w:val="Normal"/>
              <w:spacing w:lineRule="auto" w:line="240" w:before="0" w:after="0"/>
              <w:jc w:val="center"/>
              <w:rPr/>
            </w:pPr>
            <w:r>
              <w:rPr>
                <w:sz w:val="28"/>
              </w:rPr>
              <w:t>+</w:t>
            </w:r>
          </w:p>
        </w:tc>
        <w:tc>
          <w:tcPr>
            <w:tcW w:w="1549" w:type="dxa"/>
            <w:tcBorders/>
            <w:shd w:fill="auto" w:val="clear"/>
            <w:tcMar>
              <w:left w:w="88" w:type="dxa"/>
            </w:tcMar>
            <w:vAlign w:val="center"/>
          </w:tcPr>
          <w:p>
            <w:pPr>
              <w:pStyle w:val="Normal"/>
              <w:spacing w:lineRule="auto" w:line="240" w:before="0" w:after="0"/>
              <w:jc w:val="center"/>
              <w:rPr/>
            </w:pPr>
            <w:r>
              <w:rPr>
                <w:sz w:val="28"/>
              </w:rPr>
              <w:t>-</w:t>
            </w:r>
          </w:p>
        </w:tc>
        <w:tc>
          <w:tcPr>
            <w:tcW w:w="1547" w:type="dxa"/>
            <w:tcBorders/>
            <w:shd w:fill="auto" w:val="clear"/>
            <w:tcMar>
              <w:left w:w="88" w:type="dxa"/>
            </w:tcMar>
            <w:vAlign w:val="center"/>
          </w:tcPr>
          <w:p>
            <w:pPr>
              <w:pStyle w:val="Normal"/>
              <w:spacing w:lineRule="auto" w:line="240" w:before="0" w:after="0"/>
              <w:jc w:val="center"/>
              <w:rPr/>
            </w:pPr>
            <w:r>
              <w:rPr>
                <w:sz w:val="28"/>
              </w:rPr>
              <w:t>-</w:t>
            </w:r>
          </w:p>
        </w:tc>
      </w:tr>
    </w:tbl>
    <w:p>
      <w:pPr>
        <w:pStyle w:val="Normal"/>
        <w:rPr/>
      </w:pPr>
      <w:r>
        <w:rPr/>
      </w:r>
    </w:p>
    <w:p>
      <w:pPr>
        <w:pStyle w:val="Heading2"/>
        <w:rPr/>
      </w:pPr>
      <w:bookmarkStart w:id="28" w:name="_Toc475347834"/>
      <w:bookmarkEnd w:id="28"/>
      <w:r>
        <w:rPr/>
        <w:t>4.4 Ostali objekti</w:t>
      </w:r>
    </w:p>
    <w:p>
      <w:pPr>
        <w:pStyle w:val="Normal"/>
        <w:rPr/>
      </w:pPr>
      <w:r>
        <w:rPr/>
      </w:r>
    </w:p>
    <w:p>
      <w:pPr>
        <w:pStyle w:val="Normal"/>
        <w:rPr/>
      </w:pPr>
      <w:r>
        <w:rPr/>
        <w:t xml:space="preserve">Za sada se ne planira izgradnja drugih objekata na području Općine </w:t>
      </w:r>
      <w:r>
        <w:rPr/>
        <w:t>Dragalić</w:t>
      </w:r>
      <w:r>
        <w:rPr/>
        <w:t>.</w:t>
      </w:r>
    </w:p>
    <w:p>
      <w:pPr>
        <w:pStyle w:val="Normal"/>
        <w:rPr/>
      </w:pPr>
      <w:r>
        <w:rPr/>
      </w:r>
    </w:p>
    <w:p>
      <w:pPr>
        <w:pStyle w:val="Normal"/>
        <w:rPr/>
      </w:pPr>
      <w:r>
        <w:rPr/>
      </w:r>
    </w:p>
    <w:p>
      <w:pPr>
        <w:pStyle w:val="Heading2"/>
        <w:rPr/>
      </w:pPr>
      <w:bookmarkStart w:id="29" w:name="_Toc475347835"/>
      <w:bookmarkEnd w:id="29"/>
      <w:r>
        <w:rPr/>
        <w:t>4.5 Komunalna oprema, uređaji i vozila</w:t>
      </w:r>
    </w:p>
    <w:p>
      <w:pPr>
        <w:pStyle w:val="Normal"/>
        <w:rPr/>
      </w:pPr>
      <w:r>
        <w:rPr/>
      </w:r>
    </w:p>
    <w:p>
      <w:pPr>
        <w:pStyle w:val="Normal"/>
        <w:rPr/>
      </w:pPr>
      <w:r>
        <w:rPr/>
        <w:t xml:space="preserve">Za gospodarenje otpadom, Općina </w:t>
      </w:r>
      <w:r>
        <w:rPr/>
        <w:t>Dragalić</w:t>
      </w:r>
      <w:r>
        <w:rPr/>
        <w:t xml:space="preserve"> raspolaže sljedećom opremom:</w:t>
      </w:r>
    </w:p>
    <w:p>
      <w:pPr>
        <w:pStyle w:val="Normal"/>
        <w:rPr/>
      </w:pPr>
      <w:r>
        <w:rPr/>
      </w:r>
    </w:p>
    <w:p>
      <w:pPr>
        <w:pStyle w:val="Normal"/>
        <w:jc w:val="center"/>
        <w:rPr>
          <w:i/>
          <w:i/>
        </w:rPr>
      </w:pPr>
      <w:r>
        <w:rPr>
          <w:i/>
        </w:rPr>
        <w:t>Tablica 4.4 Strojevi, uređaji i oprema za sakupljanje otpada</w:t>
      </w:r>
    </w:p>
    <w:tbl>
      <w:tblPr>
        <w:tblStyle w:val="TableGrid"/>
        <w:tblW w:w="8952" w:type="dxa"/>
        <w:jc w:val="left"/>
        <w:tblInd w:w="176" w:type="dxa"/>
        <w:tblCellMar>
          <w:top w:w="0" w:type="dxa"/>
          <w:left w:w="88" w:type="dxa"/>
          <w:bottom w:w="0" w:type="dxa"/>
          <w:right w:w="108" w:type="dxa"/>
        </w:tblCellMar>
        <w:tblLook w:firstRow="1" w:noVBand="1" w:lastRow="0" w:firstColumn="1" w:lastColumn="0" w:noHBand="0" w:val="04a0"/>
      </w:tblPr>
      <w:tblGrid>
        <w:gridCol w:w="2904"/>
        <w:gridCol w:w="3096"/>
        <w:gridCol w:w="2952"/>
      </w:tblGrid>
      <w:tr>
        <w:trPr/>
        <w:tc>
          <w:tcPr>
            <w:tcW w:w="2904" w:type="dxa"/>
            <w:tcBorders/>
            <w:shd w:color="auto" w:fill="auto" w:val="pct15"/>
            <w:tcMar>
              <w:left w:w="88" w:type="dxa"/>
            </w:tcMar>
            <w:vAlign w:val="center"/>
          </w:tcPr>
          <w:p>
            <w:pPr>
              <w:pStyle w:val="Normal"/>
              <w:spacing w:lineRule="auto" w:line="240" w:before="0" w:after="0"/>
              <w:jc w:val="center"/>
              <w:rPr>
                <w:rFonts w:cs="Arial"/>
                <w:b/>
                <w:b/>
              </w:rPr>
            </w:pPr>
            <w:r>
              <w:rPr>
                <w:rFonts w:cs="Arial"/>
                <w:b/>
              </w:rPr>
            </w:r>
          </w:p>
          <w:p>
            <w:pPr>
              <w:pStyle w:val="Normal"/>
              <w:spacing w:lineRule="auto" w:line="240" w:before="0" w:after="0"/>
              <w:jc w:val="center"/>
              <w:rPr>
                <w:rFonts w:cs="Arial"/>
                <w:b/>
                <w:b/>
              </w:rPr>
            </w:pPr>
            <w:r>
              <w:rPr>
                <w:rFonts w:cs="Arial"/>
                <w:b/>
              </w:rPr>
              <w:t>Vrsta uređaja / opreme</w:t>
            </w:r>
          </w:p>
          <w:p>
            <w:pPr>
              <w:pStyle w:val="Normal"/>
              <w:spacing w:lineRule="auto" w:line="240" w:before="0" w:after="0"/>
              <w:jc w:val="center"/>
              <w:rPr>
                <w:rFonts w:cs="Arial"/>
                <w:b/>
                <w:b/>
              </w:rPr>
            </w:pPr>
            <w:r>
              <w:rPr>
                <w:rFonts w:cs="Arial"/>
                <w:b/>
              </w:rPr>
            </w:r>
          </w:p>
        </w:tc>
        <w:tc>
          <w:tcPr>
            <w:tcW w:w="3096" w:type="dxa"/>
            <w:tcBorders/>
            <w:shd w:color="auto" w:fill="auto" w:val="pct15"/>
            <w:tcMar>
              <w:left w:w="88" w:type="dxa"/>
            </w:tcMar>
            <w:vAlign w:val="center"/>
          </w:tcPr>
          <w:p>
            <w:pPr>
              <w:pStyle w:val="Normal"/>
              <w:spacing w:lineRule="auto" w:line="240" w:before="0" w:after="0"/>
              <w:jc w:val="center"/>
              <w:rPr>
                <w:rFonts w:cs="Arial"/>
                <w:b/>
                <w:b/>
              </w:rPr>
            </w:pPr>
            <w:r>
              <w:rPr>
                <w:rFonts w:cs="Arial"/>
                <w:b/>
              </w:rPr>
              <w:t>Tip</w:t>
            </w:r>
          </w:p>
        </w:tc>
        <w:tc>
          <w:tcPr>
            <w:tcW w:w="2952" w:type="dxa"/>
            <w:tcBorders/>
            <w:shd w:color="auto" w:fill="auto" w:val="pct15"/>
            <w:tcMar>
              <w:left w:w="88" w:type="dxa"/>
            </w:tcMar>
            <w:vAlign w:val="center"/>
          </w:tcPr>
          <w:p>
            <w:pPr>
              <w:pStyle w:val="Normal"/>
              <w:spacing w:lineRule="auto" w:line="240" w:before="0" w:after="0"/>
              <w:jc w:val="center"/>
              <w:rPr>
                <w:rFonts w:cs="Arial"/>
                <w:b/>
                <w:b/>
              </w:rPr>
            </w:pPr>
            <w:r>
              <w:rPr>
                <w:rFonts w:cs="Arial"/>
                <w:b/>
              </w:rPr>
              <w:t>Namjena</w:t>
            </w:r>
          </w:p>
        </w:tc>
      </w:tr>
      <w:tr>
        <w:trPr/>
        <w:tc>
          <w:tcPr>
            <w:tcW w:w="2904"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rFonts w:cs="Arial"/>
              </w:rPr>
            </w:pPr>
            <w:r>
              <w:rPr>
                <w:rFonts w:cs="Arial"/>
              </w:rPr>
              <w:t>Kontejner za odvojeno sakupljanje komunalnog otpada</w:t>
            </w:r>
          </w:p>
          <w:p>
            <w:pPr>
              <w:pStyle w:val="Normal"/>
              <w:spacing w:lineRule="auto" w:line="240" w:before="0" w:after="0"/>
              <w:jc w:val="center"/>
              <w:rPr>
                <w:rFonts w:cs="Arial"/>
              </w:rPr>
            </w:pPr>
            <w:r>
              <w:rPr>
                <w:rFonts w:cs="Arial"/>
              </w:rPr>
            </w:r>
          </w:p>
        </w:tc>
        <w:tc>
          <w:tcPr>
            <w:tcW w:w="3096" w:type="dxa"/>
            <w:tcBorders/>
            <w:shd w:fill="auto" w:val="clear"/>
            <w:tcMar>
              <w:left w:w="88" w:type="dxa"/>
            </w:tcMar>
            <w:vAlign w:val="center"/>
          </w:tcPr>
          <w:p>
            <w:pPr>
              <w:pStyle w:val="Normal"/>
              <w:spacing w:lineRule="auto" w:line="240" w:before="0" w:after="0"/>
              <w:jc w:val="center"/>
              <w:rPr>
                <w:rFonts w:cs="Arial"/>
              </w:rPr>
            </w:pPr>
            <w:r>
              <w:rPr>
                <w:rFonts w:cs="Arial"/>
              </w:rPr>
              <w:t>1100 l</w:t>
            </w:r>
          </w:p>
        </w:tc>
        <w:tc>
          <w:tcPr>
            <w:tcW w:w="2952" w:type="dxa"/>
            <w:tcBorders/>
            <w:shd w:fill="auto" w:val="clear"/>
            <w:tcMar>
              <w:left w:w="88" w:type="dxa"/>
            </w:tcMar>
            <w:vAlign w:val="center"/>
          </w:tcPr>
          <w:p>
            <w:pPr>
              <w:pStyle w:val="Normal"/>
              <w:spacing w:lineRule="auto" w:line="240" w:before="0" w:after="0"/>
              <w:jc w:val="center"/>
              <w:rPr>
                <w:rFonts w:cs="Arial"/>
              </w:rPr>
            </w:pPr>
            <w:r>
              <w:rPr>
                <w:rFonts w:cs="Arial"/>
              </w:rPr>
              <w:t>Papir</w:t>
            </w:r>
          </w:p>
        </w:tc>
      </w:tr>
      <w:tr>
        <w:trPr/>
        <w:tc>
          <w:tcPr>
            <w:tcW w:w="2904"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rFonts w:cs="Arial"/>
              </w:rPr>
            </w:pPr>
            <w:r>
              <w:rPr>
                <w:rFonts w:cs="Arial"/>
              </w:rPr>
              <w:t>Kontejner za odvojeno sakupljanje komunalnog otpada</w:t>
            </w:r>
          </w:p>
          <w:p>
            <w:pPr>
              <w:pStyle w:val="Normal"/>
              <w:spacing w:lineRule="auto" w:line="240" w:before="0" w:after="0"/>
              <w:jc w:val="center"/>
              <w:rPr>
                <w:rFonts w:cs="Arial"/>
              </w:rPr>
            </w:pPr>
            <w:r>
              <w:rPr>
                <w:rFonts w:cs="Arial"/>
              </w:rPr>
            </w:r>
          </w:p>
        </w:tc>
        <w:tc>
          <w:tcPr>
            <w:tcW w:w="3096" w:type="dxa"/>
            <w:tcBorders/>
            <w:shd w:fill="auto" w:val="clear"/>
            <w:tcMar>
              <w:left w:w="88" w:type="dxa"/>
            </w:tcMar>
            <w:vAlign w:val="center"/>
          </w:tcPr>
          <w:p>
            <w:pPr>
              <w:pStyle w:val="Normal"/>
              <w:spacing w:lineRule="auto" w:line="240" w:before="0" w:after="0"/>
              <w:jc w:val="center"/>
              <w:rPr>
                <w:rFonts w:cs="Arial"/>
              </w:rPr>
            </w:pPr>
            <w:r>
              <w:rPr>
                <w:rFonts w:cs="Arial"/>
              </w:rPr>
              <w:t>1100 l</w:t>
            </w:r>
          </w:p>
        </w:tc>
        <w:tc>
          <w:tcPr>
            <w:tcW w:w="2952" w:type="dxa"/>
            <w:tcBorders/>
            <w:shd w:fill="auto" w:val="clear"/>
            <w:tcMar>
              <w:left w:w="88" w:type="dxa"/>
            </w:tcMar>
            <w:vAlign w:val="center"/>
          </w:tcPr>
          <w:p>
            <w:pPr>
              <w:pStyle w:val="Normal"/>
              <w:spacing w:lineRule="auto" w:line="240" w:before="0" w:after="0"/>
              <w:jc w:val="center"/>
              <w:rPr>
                <w:rFonts w:cs="Arial"/>
              </w:rPr>
            </w:pPr>
            <w:r>
              <w:rPr>
                <w:rFonts w:cs="Arial"/>
              </w:rPr>
              <w:t>Plastika</w:t>
            </w:r>
          </w:p>
        </w:tc>
      </w:tr>
      <w:tr>
        <w:trPr/>
        <w:tc>
          <w:tcPr>
            <w:tcW w:w="2904"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rFonts w:cs="Arial"/>
              </w:rPr>
            </w:pPr>
            <w:r>
              <w:rPr>
                <w:rFonts w:cs="Arial"/>
              </w:rPr>
              <w:t>Kontejner za odvojeno sakupljanje komunalnog otpada</w:t>
            </w:r>
          </w:p>
          <w:p>
            <w:pPr>
              <w:pStyle w:val="Normal"/>
              <w:spacing w:lineRule="auto" w:line="240" w:before="0" w:after="0"/>
              <w:jc w:val="center"/>
              <w:rPr>
                <w:rFonts w:cs="Arial"/>
              </w:rPr>
            </w:pPr>
            <w:r>
              <w:rPr>
                <w:rFonts w:cs="Arial"/>
              </w:rPr>
            </w:r>
          </w:p>
        </w:tc>
        <w:tc>
          <w:tcPr>
            <w:tcW w:w="3096" w:type="dxa"/>
            <w:tcBorders/>
            <w:shd w:fill="auto" w:val="clear"/>
            <w:tcMar>
              <w:left w:w="88" w:type="dxa"/>
            </w:tcMar>
            <w:vAlign w:val="center"/>
          </w:tcPr>
          <w:p>
            <w:pPr>
              <w:pStyle w:val="Normal"/>
              <w:spacing w:lineRule="auto" w:line="240" w:before="0" w:after="0"/>
              <w:jc w:val="center"/>
              <w:rPr>
                <w:rFonts w:cs="Arial"/>
              </w:rPr>
            </w:pPr>
            <w:r>
              <w:rPr>
                <w:rFonts w:cs="Arial"/>
              </w:rPr>
              <w:t>1100 l</w:t>
            </w:r>
          </w:p>
        </w:tc>
        <w:tc>
          <w:tcPr>
            <w:tcW w:w="2952" w:type="dxa"/>
            <w:tcBorders/>
            <w:shd w:fill="auto" w:val="clear"/>
            <w:tcMar>
              <w:left w:w="88" w:type="dxa"/>
            </w:tcMar>
            <w:vAlign w:val="center"/>
          </w:tcPr>
          <w:p>
            <w:pPr>
              <w:pStyle w:val="Normal"/>
              <w:spacing w:lineRule="auto" w:line="240" w:before="0" w:after="0"/>
              <w:jc w:val="center"/>
              <w:rPr>
                <w:rFonts w:cs="Arial"/>
              </w:rPr>
            </w:pPr>
            <w:r>
              <w:rPr>
                <w:rFonts w:cs="Arial"/>
              </w:rPr>
              <w:t>Staklo</w:t>
            </w:r>
          </w:p>
        </w:tc>
      </w:tr>
      <w:tr>
        <w:trPr/>
        <w:tc>
          <w:tcPr>
            <w:tcW w:w="2904"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rFonts w:cs="Arial"/>
              </w:rPr>
            </w:pPr>
            <w:r>
              <w:rPr>
                <w:rFonts w:cs="Arial"/>
              </w:rPr>
              <w:t>Kanta</w:t>
            </w:r>
          </w:p>
          <w:p>
            <w:pPr>
              <w:pStyle w:val="Normal"/>
              <w:spacing w:lineRule="auto" w:line="240" w:before="0" w:after="0"/>
              <w:jc w:val="center"/>
              <w:rPr>
                <w:rFonts w:cs="Arial"/>
              </w:rPr>
            </w:pPr>
            <w:r>
              <w:rPr>
                <w:rFonts w:cs="Arial"/>
              </w:rPr>
            </w:r>
          </w:p>
        </w:tc>
        <w:tc>
          <w:tcPr>
            <w:tcW w:w="3096" w:type="dxa"/>
            <w:tcBorders/>
            <w:shd w:fill="auto" w:val="clear"/>
            <w:tcMar>
              <w:left w:w="88" w:type="dxa"/>
            </w:tcMar>
            <w:vAlign w:val="center"/>
          </w:tcPr>
          <w:p>
            <w:pPr>
              <w:pStyle w:val="Normal"/>
              <w:spacing w:lineRule="auto" w:line="240" w:before="0" w:after="0"/>
              <w:jc w:val="center"/>
              <w:rPr>
                <w:rFonts w:cs="Arial"/>
              </w:rPr>
            </w:pPr>
            <w:r>
              <w:rPr>
                <w:rFonts w:cs="Arial"/>
              </w:rPr>
              <w:t>120 l</w:t>
            </w:r>
          </w:p>
        </w:tc>
        <w:tc>
          <w:tcPr>
            <w:tcW w:w="2952" w:type="dxa"/>
            <w:tcBorders/>
            <w:shd w:fill="auto" w:val="clear"/>
            <w:tcMar>
              <w:left w:w="88" w:type="dxa"/>
            </w:tcMar>
            <w:vAlign w:val="center"/>
          </w:tcPr>
          <w:p>
            <w:pPr>
              <w:pStyle w:val="Normal"/>
              <w:spacing w:lineRule="auto" w:line="240" w:before="0" w:after="0"/>
              <w:jc w:val="center"/>
              <w:rPr>
                <w:rFonts w:cs="Arial"/>
              </w:rPr>
            </w:pPr>
            <w:r>
              <w:rPr>
                <w:rFonts w:cs="Arial"/>
              </w:rPr>
              <w:t>Miješani komunalni otpad</w:t>
            </w:r>
          </w:p>
        </w:tc>
      </w:tr>
    </w:tbl>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rPr/>
      </w:pPr>
      <w:r>
        <w:rPr/>
      </w:r>
    </w:p>
    <w:p>
      <w:pPr>
        <w:pStyle w:val="Heading1"/>
        <w:rPr/>
      </w:pPr>
      <w:bookmarkStart w:id="30" w:name="_Toc475347836"/>
      <w:bookmarkEnd w:id="30"/>
      <w:r>
        <w:rPr/>
        <w:t>5 PODACI O LOKACIJAMA ODBAČENOG OTPADA I NJIHOVOM UKLANJANJU</w:t>
      </w:r>
    </w:p>
    <w:p>
      <w:pPr>
        <w:pStyle w:val="Normal"/>
        <w:rPr/>
      </w:pPr>
      <w:r>
        <w:rPr/>
      </w:r>
    </w:p>
    <w:p>
      <w:pPr>
        <w:pStyle w:val="Heading2"/>
        <w:rPr/>
      </w:pPr>
      <w:bookmarkStart w:id="31" w:name="_Toc475347837"/>
      <w:bookmarkEnd w:id="31"/>
      <w:r>
        <w:rPr/>
        <w:t>5.1 Popis otpadom onečišćenog okoliša i neuređenih odlagališta</w:t>
      </w:r>
    </w:p>
    <w:p>
      <w:pPr>
        <w:pStyle w:val="Normal"/>
        <w:rPr/>
      </w:pPr>
      <w:r>
        <w:rPr/>
      </w:r>
    </w:p>
    <w:p>
      <w:pPr>
        <w:pStyle w:val="Normal"/>
        <w:spacing w:lineRule="auto" w:line="276"/>
        <w:rPr/>
      </w:pPr>
      <w:r>
        <w:rPr>
          <w:rFonts w:cs="Arial"/>
        </w:rPr>
        <w:t xml:space="preserve">Na području Općine </w:t>
      </w:r>
      <w:r>
        <w:rPr>
          <w:rFonts w:cs="Arial"/>
        </w:rPr>
        <w:t>Dragalić</w:t>
      </w:r>
      <w:r>
        <w:rPr>
          <w:rFonts w:cs="Arial"/>
        </w:rPr>
        <w:t xml:space="preserve"> nema onečišćenog okoliša i neuređenih odlagališta otpada. </w:t>
      </w:r>
    </w:p>
    <w:p>
      <w:pPr>
        <w:pStyle w:val="Normal"/>
        <w:spacing w:lineRule="auto" w:line="276"/>
        <w:rPr>
          <w:rFonts w:cs="Arial"/>
          <w:color w:val="000000"/>
        </w:rPr>
      </w:pPr>
      <w:r>
        <w:rPr>
          <w:rFonts w:cs="Arial"/>
          <w:color w:val="000000"/>
        </w:rPr>
      </w:r>
    </w:p>
    <w:p>
      <w:pPr>
        <w:pStyle w:val="Normal"/>
        <w:jc w:val="center"/>
        <w:rPr>
          <w:i/>
          <w:i/>
        </w:rPr>
      </w:pPr>
      <w:r>
        <w:rPr>
          <w:i/>
        </w:rPr>
        <w:t>Tablica 5.1 Status odlagališta u Brodsko-posavskoj županiji</w:t>
      </w:r>
    </w:p>
    <w:p>
      <w:pPr>
        <w:pStyle w:val="Normal"/>
        <w:jc w:val="center"/>
        <w:rPr/>
      </w:pPr>
      <w:r>
        <mc:AlternateContent>
          <mc:Choice Requires="wps">
            <w:drawing>
              <wp:anchor behindDoc="0" distT="0" distB="0" distL="114300" distR="114300" simplePos="0" locked="0" layoutInCell="1" allowOverlap="1" relativeHeight="2" wp14:anchorId="07A5BBD9">
                <wp:simplePos x="0" y="0"/>
                <wp:positionH relativeFrom="column">
                  <wp:posOffset>801370</wp:posOffset>
                </wp:positionH>
                <wp:positionV relativeFrom="paragraph">
                  <wp:posOffset>1892935</wp:posOffset>
                </wp:positionV>
                <wp:extent cx="2087245" cy="3810"/>
                <wp:effectExtent l="38100" t="38100" r="50165" b="95250"/>
                <wp:wrapNone/>
                <wp:docPr id="8" name="Straight Connector 17"/>
                <a:graphic xmlns:a="http://schemas.openxmlformats.org/drawingml/2006/main">
                  <a:graphicData uri="http://schemas.microsoft.com/office/word/2010/wordprocessingShape">
                    <wps:wsp>
                      <wps:cNvSpPr/>
                      <wps:spPr>
                        <a:xfrm>
                          <a:off x="0" y="0"/>
                          <a:ext cx="2086560" cy="1800"/>
                        </a:xfrm>
                        <a:prstGeom prst="line">
                          <a:avLst/>
                        </a:prstGeom>
                        <a:ln>
                          <a:round/>
                        </a:ln>
                      </wps:spPr>
                      <wps:style>
                        <a:lnRef idx="2">
                          <a:schemeClr val="accent2"/>
                        </a:lnRef>
                        <a:fillRef idx="0">
                          <a:schemeClr val="accent2"/>
                        </a:fillRef>
                        <a:effectRef idx="1">
                          <a:schemeClr val="accent2"/>
                        </a:effectRef>
                        <a:fontRef idx="minor"/>
                      </wps:style>
                      <wps:bodyPr/>
                    </wps:wsp>
                  </a:graphicData>
                </a:graphic>
              </wp:anchor>
            </w:drawing>
          </mc:Choice>
          <mc:Fallback>
            <w:pict>
              <v:line id="shape_0" from="63.1pt,149pt" to="227.35pt,149.1pt" ID="Straight Connector 17" stroked="t" style="position:absolute" wp14:anchorId="07A5BBD9">
                <v:stroke color="#c0504d" weight="25560" joinstyle="round" endcap="flat"/>
                <v:fill o:detectmouseclick="t" on="false"/>
                <v:shadow on="t" obscured="f" color="black"/>
              </v:line>
            </w:pict>
          </mc:Fallback>
        </mc:AlternateContent>
        <mc:AlternateContent>
          <mc:Choice Requires="wps">
            <w:drawing>
              <wp:anchor behindDoc="0" distT="0" distB="0" distL="114300" distR="114300" simplePos="0" locked="0" layoutInCell="1" allowOverlap="1" relativeHeight="3" wp14:anchorId="722E4A36">
                <wp:simplePos x="0" y="0"/>
                <wp:positionH relativeFrom="column">
                  <wp:posOffset>802640</wp:posOffset>
                </wp:positionH>
                <wp:positionV relativeFrom="paragraph">
                  <wp:posOffset>1891030</wp:posOffset>
                </wp:positionV>
                <wp:extent cx="4445" cy="4445"/>
                <wp:effectExtent l="57150" t="19050" r="76200" b="77470"/>
                <wp:wrapNone/>
                <wp:docPr id="9" name="Straight Connector 19"/>
                <a:graphic xmlns:a="http://schemas.openxmlformats.org/drawingml/2006/main">
                  <a:graphicData uri="http://schemas.microsoft.com/office/word/2010/wordprocessingShape">
                    <wps:wsp>
                      <wps:cNvSpPr/>
                      <wps:spPr>
                        <a:xfrm flipH="1">
                          <a:off x="0" y="0"/>
                          <a:ext cx="3240" cy="3240"/>
                        </a:xfrm>
                        <a:prstGeom prst="line">
                          <a:avLst/>
                        </a:prstGeom>
                        <a:ln>
                          <a:round/>
                        </a:ln>
                      </wps:spPr>
                      <wps:style>
                        <a:lnRef idx="2">
                          <a:schemeClr val="accent2"/>
                        </a:lnRef>
                        <a:fillRef idx="0">
                          <a:schemeClr val="accent2"/>
                        </a:fillRef>
                        <a:effectRef idx="1">
                          <a:schemeClr val="accent2"/>
                        </a:effectRef>
                        <a:fontRef idx="minor"/>
                      </wps:style>
                      <wps:bodyPr/>
                    </wps:wsp>
                  </a:graphicData>
                </a:graphic>
              </wp:anchor>
            </w:drawing>
          </mc:Choice>
          <mc:Fallback>
            <w:pict>
              <v:line id="shape_0" from="63.15pt,148.85pt" to="63.35pt,149.05pt" ID="Straight Connector 19" stroked="t" style="position:absolute;flip:x" wp14:anchorId="722E4A36">
                <v:stroke color="#c0504d" weight="25560" joinstyle="round" endcap="flat"/>
                <v:fill o:detectmouseclick="t" on="false"/>
                <v:shadow on="t" obscured="f" color="black"/>
              </v:line>
            </w:pict>
          </mc:Fallback>
        </mc:AlternateContent>
        <mc:AlternateContent>
          <mc:Choice Requires="wps">
            <w:drawing>
              <wp:anchor behindDoc="0" distT="0" distB="0" distL="114300" distR="114300" simplePos="0" locked="0" layoutInCell="1" allowOverlap="1" relativeHeight="4" wp14:anchorId="2886006D">
                <wp:simplePos x="0" y="0"/>
                <wp:positionH relativeFrom="column">
                  <wp:posOffset>801370</wp:posOffset>
                </wp:positionH>
                <wp:positionV relativeFrom="paragraph">
                  <wp:posOffset>4902200</wp:posOffset>
                </wp:positionV>
                <wp:extent cx="2087245" cy="3810"/>
                <wp:effectExtent l="38100" t="38100" r="50165" b="95250"/>
                <wp:wrapNone/>
                <wp:docPr id="10" name="Straight Connector 20"/>
                <a:graphic xmlns:a="http://schemas.openxmlformats.org/drawingml/2006/main">
                  <a:graphicData uri="http://schemas.microsoft.com/office/word/2010/wordprocessingShape">
                    <wps:wsp>
                      <wps:cNvSpPr/>
                      <wps:spPr>
                        <a:xfrm>
                          <a:off x="0" y="0"/>
                          <a:ext cx="2086560" cy="1800"/>
                        </a:xfrm>
                        <a:prstGeom prst="line">
                          <a:avLst/>
                        </a:prstGeom>
                        <a:ln>
                          <a:round/>
                        </a:ln>
                      </wps:spPr>
                      <wps:style>
                        <a:lnRef idx="2">
                          <a:schemeClr val="accent2"/>
                        </a:lnRef>
                        <a:fillRef idx="0">
                          <a:schemeClr val="accent2"/>
                        </a:fillRef>
                        <a:effectRef idx="1">
                          <a:schemeClr val="accent2"/>
                        </a:effectRef>
                        <a:fontRef idx="minor"/>
                      </wps:style>
                      <wps:bodyPr/>
                    </wps:wsp>
                  </a:graphicData>
                </a:graphic>
              </wp:anchor>
            </w:drawing>
          </mc:Choice>
          <mc:Fallback>
            <w:pict>
              <v:line id="shape_0" from="63.1pt,385.95pt" to="227.35pt,386.05pt" ID="Straight Connector 20" stroked="t" style="position:absolute" wp14:anchorId="2886006D">
                <v:stroke color="#c0504d" weight="25560" joinstyle="round" endcap="flat"/>
                <v:fill o:detectmouseclick="t" on="false"/>
                <v:shadow on="t" obscured="f" color="black"/>
              </v:line>
            </w:pict>
          </mc:Fallback>
        </mc:AlternateContent>
        <mc:AlternateContent>
          <mc:Choice Requires="wps">
            <w:drawing>
              <wp:anchor behindDoc="0" distT="0" distB="0" distL="114300" distR="114300" simplePos="0" locked="0" layoutInCell="1" allowOverlap="1" relativeHeight="5" wp14:anchorId="1C705C82">
                <wp:simplePos x="0" y="0"/>
                <wp:positionH relativeFrom="column">
                  <wp:posOffset>2886075</wp:posOffset>
                </wp:positionH>
                <wp:positionV relativeFrom="paragraph">
                  <wp:posOffset>1891030</wp:posOffset>
                </wp:positionV>
                <wp:extent cx="4445" cy="4445"/>
                <wp:effectExtent l="57150" t="19050" r="76200" b="77470"/>
                <wp:wrapNone/>
                <wp:docPr id="11" name="Straight Connector 21"/>
                <a:graphic xmlns:a="http://schemas.openxmlformats.org/drawingml/2006/main">
                  <a:graphicData uri="http://schemas.microsoft.com/office/word/2010/wordprocessingShape">
                    <wps:wsp>
                      <wps:cNvSpPr/>
                      <wps:spPr>
                        <a:xfrm flipH="1">
                          <a:off x="0" y="0"/>
                          <a:ext cx="3240" cy="3240"/>
                        </a:xfrm>
                        <a:prstGeom prst="line">
                          <a:avLst/>
                        </a:prstGeom>
                        <a:ln>
                          <a:round/>
                        </a:ln>
                      </wps:spPr>
                      <wps:style>
                        <a:lnRef idx="2">
                          <a:schemeClr val="accent2"/>
                        </a:lnRef>
                        <a:fillRef idx="0">
                          <a:schemeClr val="accent2"/>
                        </a:fillRef>
                        <a:effectRef idx="1">
                          <a:schemeClr val="accent2"/>
                        </a:effectRef>
                        <a:fontRef idx="minor"/>
                      </wps:style>
                      <wps:bodyPr/>
                    </wps:wsp>
                  </a:graphicData>
                </a:graphic>
              </wp:anchor>
            </w:drawing>
          </mc:Choice>
          <mc:Fallback>
            <w:pict>
              <v:line id="shape_0" from="227.2pt,148.85pt" to="227.4pt,149.05pt" ID="Straight Connector 21" stroked="t" style="position:absolute;flip:x" wp14:anchorId="1C705C82">
                <v:stroke color="#c0504d" weight="25560" joinstyle="round" endcap="flat"/>
                <v:fill o:detectmouseclick="t" on="false"/>
                <v:shadow on="t" obscured="f" color="black"/>
              </v:line>
            </w:pict>
          </mc:Fallback>
        </mc:AlternateContent>
      </w:r>
      <w:r>
        <w:rPr/>
        <w:drawing>
          <wp:inline distT="0" distB="0" distL="0" distR="0">
            <wp:extent cx="4145280" cy="5311140"/>
            <wp:effectExtent l="0" t="0" r="0" b="0"/>
            <wp:docPr id="12" name="Slika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8" descr=""/>
                    <pic:cNvPicPr>
                      <a:picLocks noChangeAspect="1" noChangeArrowheads="1"/>
                    </pic:cNvPicPr>
                  </pic:nvPicPr>
                  <pic:blipFill>
                    <a:blip r:embed="rId10"/>
                    <a:stretch>
                      <a:fillRect/>
                    </a:stretch>
                  </pic:blipFill>
                  <pic:spPr bwMode="auto">
                    <a:xfrm>
                      <a:off x="0" y="0"/>
                      <a:ext cx="4145280" cy="5311140"/>
                    </a:xfrm>
                    <a:prstGeom prst="rect">
                      <a:avLst/>
                    </a:prstGeom>
                  </pic:spPr>
                </pic:pic>
              </a:graphicData>
            </a:graphic>
          </wp:inline>
        </w:drawing>
      </w:r>
      <w:r>
        <w:rPr/>
        <w:tab/>
      </w:r>
    </w:p>
    <w:p>
      <w:pPr>
        <w:pStyle w:val="Normal"/>
        <w:rPr>
          <w:i/>
          <w:i/>
          <w:sz w:val="18"/>
        </w:rPr>
      </w:pPr>
      <w:r>
        <w:rPr>
          <w:b/>
          <w:sz w:val="18"/>
        </w:rPr>
        <w:t xml:space="preserve">Napomena: </w:t>
      </w:r>
      <w:r>
        <w:rPr>
          <w:i/>
          <w:sz w:val="18"/>
        </w:rPr>
        <w:t>Podaci o sanaciji odlagališta u 2015. godini HAOP</w:t>
      </w:r>
    </w:p>
    <w:p>
      <w:pPr>
        <w:pStyle w:val="Normal"/>
        <w:rPr>
          <w:i/>
          <w:i/>
          <w:sz w:val="18"/>
        </w:rPr>
      </w:pPr>
      <w:r>
        <w:rPr>
          <w:i/>
          <w:sz w:val="18"/>
        </w:rPr>
      </w:r>
    </w:p>
    <w:p>
      <w:pPr>
        <w:pStyle w:val="Normal"/>
        <w:spacing w:lineRule="auto" w:line="276"/>
        <w:rPr/>
      </w:pPr>
      <w:r>
        <w:rPr>
          <w:rFonts w:cs="Arial"/>
        </w:rPr>
        <w:t xml:space="preserve">Općina </w:t>
      </w:r>
      <w:r>
        <w:rPr>
          <w:rFonts w:cs="Arial"/>
        </w:rPr>
        <w:t>Dragalić</w:t>
      </w:r>
      <w:r>
        <w:rPr>
          <w:rFonts w:cs="Arial"/>
        </w:rPr>
        <w:t xml:space="preserve"> uspostavila je sustav prijave divljih odlagališta otpadom i otpada odba</w:t>
      </w:r>
      <w:r>
        <w:rPr>
          <w:rFonts w:cs="Arial"/>
        </w:rPr>
        <w:t>č</w:t>
      </w:r>
      <w:r>
        <w:rPr>
          <w:rFonts w:cs="Arial"/>
        </w:rPr>
        <w:t>enog u okoliš. Svatko tko uoči nepropisno odlaganje otpada može prijaviti isto komunalnom redaru, telefonom, na web stranici predloženim obrascem ili doći osobno do komunalnog redara.</w:t>
      </w:r>
    </w:p>
    <w:p>
      <w:pPr>
        <w:pStyle w:val="Normal"/>
        <w:rPr>
          <w:rFonts w:cs="Arial"/>
        </w:rPr>
      </w:pPr>
      <w:r>
        <w:rPr>
          <w:rFonts w:cs="Arial"/>
        </w:rPr>
      </w:r>
    </w:p>
    <w:p>
      <w:pPr>
        <w:pStyle w:val="Normal"/>
        <w:jc w:val="center"/>
        <w:rPr>
          <w:i/>
          <w:i/>
        </w:rPr>
      </w:pPr>
      <w:r>
        <w:rPr>
          <w:i/>
        </w:rPr>
        <w:t>Tablica 5.2 Lokacije divljih odlagališta</w:t>
      </w:r>
    </w:p>
    <w:tbl>
      <w:tblPr>
        <w:tblStyle w:val="TableGrid"/>
        <w:tblW w:w="8952" w:type="dxa"/>
        <w:jc w:val="left"/>
        <w:tblInd w:w="152" w:type="dxa"/>
        <w:tblCellMar>
          <w:top w:w="0" w:type="dxa"/>
          <w:left w:w="88" w:type="dxa"/>
          <w:bottom w:w="0" w:type="dxa"/>
          <w:right w:w="108" w:type="dxa"/>
        </w:tblCellMar>
        <w:tblLook w:firstRow="1" w:noVBand="1" w:lastRow="0" w:firstColumn="1" w:lastColumn="0" w:noHBand="0" w:val="04a0"/>
      </w:tblPr>
      <w:tblGrid>
        <w:gridCol w:w="2928"/>
        <w:gridCol w:w="3096"/>
        <w:gridCol w:w="2928"/>
      </w:tblGrid>
      <w:tr>
        <w:trPr/>
        <w:tc>
          <w:tcPr>
            <w:tcW w:w="2928" w:type="dxa"/>
            <w:tcBorders/>
            <w:shd w:color="auto" w:fill="auto" w:val="pct15"/>
            <w:tcMar>
              <w:left w:w="88" w:type="dxa"/>
            </w:tcMar>
            <w:vAlign w:val="center"/>
          </w:tcPr>
          <w:p>
            <w:pPr>
              <w:pStyle w:val="Normal"/>
              <w:spacing w:lineRule="auto" w:line="240" w:before="0" w:after="0"/>
              <w:jc w:val="center"/>
              <w:rPr>
                <w:rFonts w:cs="Arial"/>
                <w:b/>
                <w:b/>
              </w:rPr>
            </w:pPr>
            <w:r>
              <w:rPr>
                <w:rFonts w:cs="Arial"/>
                <w:b/>
              </w:rPr>
            </w:r>
          </w:p>
          <w:p>
            <w:pPr>
              <w:pStyle w:val="Normal"/>
              <w:spacing w:lineRule="auto" w:line="240" w:before="0" w:after="0"/>
              <w:jc w:val="center"/>
              <w:rPr>
                <w:rFonts w:cs="Arial"/>
                <w:b/>
                <w:b/>
              </w:rPr>
            </w:pPr>
            <w:r>
              <w:rPr>
                <w:rFonts w:cs="Arial"/>
                <w:b/>
              </w:rPr>
              <w:t>Lokacija (adresa, k.č.)</w:t>
            </w:r>
          </w:p>
          <w:p>
            <w:pPr>
              <w:pStyle w:val="Normal"/>
              <w:spacing w:lineRule="auto" w:line="240" w:before="0" w:after="0"/>
              <w:jc w:val="center"/>
              <w:rPr>
                <w:rFonts w:cs="Arial"/>
                <w:b/>
                <w:b/>
              </w:rPr>
            </w:pPr>
            <w:r>
              <w:rPr>
                <w:rFonts w:cs="Arial"/>
                <w:b/>
              </w:rPr>
            </w:r>
          </w:p>
        </w:tc>
        <w:tc>
          <w:tcPr>
            <w:tcW w:w="3096" w:type="dxa"/>
            <w:tcBorders/>
            <w:shd w:color="auto" w:fill="auto" w:val="pct15"/>
            <w:tcMar>
              <w:left w:w="88" w:type="dxa"/>
            </w:tcMar>
            <w:vAlign w:val="center"/>
          </w:tcPr>
          <w:p>
            <w:pPr>
              <w:pStyle w:val="Normal"/>
              <w:spacing w:lineRule="auto" w:line="240" w:before="0" w:after="0"/>
              <w:jc w:val="center"/>
              <w:rPr>
                <w:rFonts w:cs="Arial"/>
                <w:b/>
                <w:b/>
              </w:rPr>
            </w:pPr>
            <w:r>
              <w:rPr>
                <w:rFonts w:cs="Arial"/>
                <w:b/>
              </w:rPr>
              <w:t>Prijavljeno (datum)</w:t>
            </w:r>
          </w:p>
        </w:tc>
        <w:tc>
          <w:tcPr>
            <w:tcW w:w="2928" w:type="dxa"/>
            <w:tcBorders/>
            <w:shd w:color="auto" w:fill="auto" w:val="pct15"/>
            <w:tcMar>
              <w:left w:w="88" w:type="dxa"/>
            </w:tcMar>
            <w:vAlign w:val="center"/>
          </w:tcPr>
          <w:p>
            <w:pPr>
              <w:pStyle w:val="Normal"/>
              <w:spacing w:lineRule="auto" w:line="240" w:before="0" w:after="0"/>
              <w:jc w:val="center"/>
              <w:rPr>
                <w:rFonts w:cs="Arial"/>
                <w:b/>
                <w:b/>
              </w:rPr>
            </w:pPr>
            <w:r>
              <w:rPr>
                <w:rFonts w:cs="Arial"/>
                <w:b/>
              </w:rPr>
              <w:t>Sanacija izvršena</w:t>
            </w:r>
          </w:p>
        </w:tc>
      </w:tr>
      <w:tr>
        <w:trPr/>
        <w:tc>
          <w:tcPr>
            <w:tcW w:w="2928"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rFonts w:cs="Arial"/>
              </w:rPr>
            </w:pPr>
            <w:r>
              <w:rPr>
                <w:rFonts w:cs="Arial"/>
              </w:rPr>
              <w:t>Nema</w:t>
            </w:r>
          </w:p>
          <w:p>
            <w:pPr>
              <w:pStyle w:val="Normal"/>
              <w:spacing w:lineRule="auto" w:line="240" w:before="0" w:after="0"/>
              <w:jc w:val="center"/>
              <w:rPr>
                <w:rFonts w:cs="Arial"/>
              </w:rPr>
            </w:pPr>
            <w:r>
              <w:rPr>
                <w:rFonts w:cs="Arial"/>
              </w:rPr>
            </w:r>
          </w:p>
        </w:tc>
        <w:tc>
          <w:tcPr>
            <w:tcW w:w="3096" w:type="dxa"/>
            <w:tcBorders/>
            <w:shd w:fill="auto" w:val="clear"/>
            <w:tcMar>
              <w:left w:w="88" w:type="dxa"/>
            </w:tcMar>
            <w:vAlign w:val="center"/>
          </w:tcPr>
          <w:p>
            <w:pPr>
              <w:pStyle w:val="Normal"/>
              <w:spacing w:lineRule="auto" w:line="240" w:before="0" w:after="0"/>
              <w:jc w:val="center"/>
              <w:rPr>
                <w:rFonts w:cs="Arial"/>
              </w:rPr>
            </w:pPr>
            <w:r>
              <w:rPr>
                <w:rFonts w:cs="Arial"/>
              </w:rPr>
              <w:t>/</w:t>
            </w:r>
          </w:p>
        </w:tc>
        <w:tc>
          <w:tcPr>
            <w:tcW w:w="2928" w:type="dxa"/>
            <w:tcBorders/>
            <w:shd w:fill="auto" w:val="clear"/>
            <w:tcMar>
              <w:left w:w="88" w:type="dxa"/>
            </w:tcMar>
            <w:vAlign w:val="center"/>
          </w:tcPr>
          <w:p>
            <w:pPr>
              <w:pStyle w:val="Normal"/>
              <w:spacing w:lineRule="auto" w:line="240" w:before="0" w:after="0"/>
              <w:jc w:val="center"/>
              <w:rPr>
                <w:rFonts w:cs="Arial"/>
              </w:rPr>
            </w:pPr>
            <w:r>
              <w:rPr>
                <w:rFonts w:cs="Arial"/>
              </w:rPr>
              <w:t>/</w:t>
            </w:r>
          </w:p>
        </w:tc>
      </w:tr>
      <w:tr>
        <w:trPr/>
        <w:tc>
          <w:tcPr>
            <w:tcW w:w="2928" w:type="dxa"/>
            <w:tcBorders>
              <w:top w:val="nil"/>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rFonts w:cs="Arial"/>
              </w:rPr>
            </w:pPr>
            <w:r>
              <w:rPr>
                <w:rFonts w:cs="Arial"/>
              </w:rPr>
            </w:r>
          </w:p>
          <w:p>
            <w:pPr>
              <w:pStyle w:val="Normal"/>
              <w:spacing w:lineRule="auto" w:line="240" w:before="0" w:after="0"/>
              <w:jc w:val="center"/>
              <w:rPr>
                <w:rFonts w:cs="Arial"/>
              </w:rPr>
            </w:pPr>
            <w:r>
              <w:rPr>
                <w:rFonts w:cs="Arial"/>
              </w:rPr>
            </w:r>
          </w:p>
        </w:tc>
        <w:tc>
          <w:tcPr>
            <w:tcW w:w="3096" w:type="dxa"/>
            <w:tcBorders>
              <w:top w:val="nil"/>
            </w:tcBorders>
            <w:shd w:fill="auto" w:val="clear"/>
            <w:tcMar>
              <w:left w:w="88" w:type="dxa"/>
            </w:tcMar>
            <w:vAlign w:val="center"/>
          </w:tcPr>
          <w:p>
            <w:pPr>
              <w:pStyle w:val="Normal"/>
              <w:spacing w:lineRule="auto" w:line="240" w:before="0" w:after="0"/>
              <w:jc w:val="center"/>
              <w:rPr/>
            </w:pPr>
            <w:r>
              <w:rPr/>
            </w:r>
          </w:p>
        </w:tc>
        <w:tc>
          <w:tcPr>
            <w:tcW w:w="2928" w:type="dxa"/>
            <w:tcBorders>
              <w:top w:val="nil"/>
            </w:tcBorders>
            <w:shd w:fill="auto" w:val="clear"/>
            <w:tcMar>
              <w:left w:w="88" w:type="dxa"/>
            </w:tcMar>
            <w:vAlign w:val="center"/>
          </w:tcPr>
          <w:p>
            <w:pPr>
              <w:pStyle w:val="Normal"/>
              <w:spacing w:lineRule="auto" w:line="240" w:before="0" w:after="0"/>
              <w:jc w:val="center"/>
              <w:rPr/>
            </w:pPr>
            <w:r>
              <w:rPr/>
            </w:r>
          </w:p>
        </w:tc>
      </w:tr>
      <w:tr>
        <w:trPr/>
        <w:tc>
          <w:tcPr>
            <w:tcW w:w="2928" w:type="dxa"/>
            <w:tcBorders>
              <w:top w:val="nil"/>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rFonts w:cs="Arial"/>
              </w:rPr>
            </w:pPr>
            <w:r>
              <w:rPr>
                <w:rFonts w:cs="Arial"/>
              </w:rPr>
            </w:r>
          </w:p>
          <w:p>
            <w:pPr>
              <w:pStyle w:val="Normal"/>
              <w:spacing w:lineRule="auto" w:line="240" w:before="0" w:after="0"/>
              <w:jc w:val="center"/>
              <w:rPr>
                <w:rFonts w:cs="Arial"/>
              </w:rPr>
            </w:pPr>
            <w:r>
              <w:rPr>
                <w:rFonts w:cs="Arial"/>
              </w:rPr>
            </w:r>
          </w:p>
        </w:tc>
        <w:tc>
          <w:tcPr>
            <w:tcW w:w="3096" w:type="dxa"/>
            <w:tcBorders>
              <w:top w:val="nil"/>
            </w:tcBorders>
            <w:shd w:fill="auto" w:val="clear"/>
            <w:tcMar>
              <w:left w:w="88" w:type="dxa"/>
            </w:tcMar>
            <w:vAlign w:val="center"/>
          </w:tcPr>
          <w:p>
            <w:pPr>
              <w:pStyle w:val="Normal"/>
              <w:spacing w:lineRule="auto" w:line="240" w:before="0" w:after="0"/>
              <w:jc w:val="center"/>
              <w:rPr/>
            </w:pPr>
            <w:r>
              <w:rPr/>
            </w:r>
          </w:p>
        </w:tc>
        <w:tc>
          <w:tcPr>
            <w:tcW w:w="2928" w:type="dxa"/>
            <w:tcBorders>
              <w:top w:val="nil"/>
            </w:tcBorders>
            <w:shd w:fill="auto" w:val="clear"/>
            <w:tcMar>
              <w:left w:w="88" w:type="dxa"/>
            </w:tcMar>
            <w:vAlign w:val="center"/>
          </w:tcPr>
          <w:p>
            <w:pPr>
              <w:pStyle w:val="Normal"/>
              <w:spacing w:lineRule="auto" w:line="240" w:before="0" w:after="0"/>
              <w:jc w:val="center"/>
              <w:rPr/>
            </w:pPr>
            <w:r>
              <w:rPr/>
            </w:r>
          </w:p>
        </w:tc>
      </w:tr>
    </w:tbl>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1"/>
        <w:rPr/>
      </w:pPr>
      <w:bookmarkStart w:id="32" w:name="_Toc475347838"/>
      <w:bookmarkEnd w:id="32"/>
      <w:r>
        <w:rPr/>
        <w:t>6 MJERE POTREBNE ZA OSTVARIVANJE CILJEVA SMANJIVANJA ILI SPRJEČAVANJA NASTANKA OTPADA, UKLJUČUJUĆI IZOBRAZNO - INFORMATIVNE AKTIVNOSTI I AKCIJE PRIKUPLJANJA OTPADA</w:t>
      </w:r>
    </w:p>
    <w:p>
      <w:pPr>
        <w:pStyle w:val="Normal"/>
        <w:rPr/>
      </w:pPr>
      <w:r>
        <w:rPr/>
      </w:r>
    </w:p>
    <w:p>
      <w:pPr>
        <w:pStyle w:val="Normal"/>
        <w:spacing w:lineRule="auto" w:line="276"/>
        <w:rPr>
          <w:rFonts w:cs="Arial"/>
        </w:rPr>
      </w:pPr>
      <w:r>
        <w:rPr>
          <w:rFonts w:cs="Arial"/>
        </w:rPr>
        <w:t xml:space="preserve">Osnovni ciljevi gospodarenja otpadom Republike Hrvatske proizlaze iz ocjene stanja gospodarenja otpadom i obvezama koje RH mora postići sukladno EU i nacionalnom zakonodavstvu. </w:t>
      </w:r>
    </w:p>
    <w:p>
      <w:pPr>
        <w:pStyle w:val="Normal"/>
        <w:spacing w:lineRule="auto" w:line="276"/>
        <w:rPr>
          <w:rFonts w:cs="Arial"/>
        </w:rPr>
      </w:pPr>
      <w:r>
        <w:rPr>
          <w:rFonts w:cs="Arial"/>
        </w:rPr>
      </w:r>
    </w:p>
    <w:p>
      <w:pPr>
        <w:pStyle w:val="Normal"/>
        <w:spacing w:lineRule="auto" w:line="276"/>
        <w:jc w:val="center"/>
        <w:rPr>
          <w:rFonts w:cs="Arial"/>
          <w:i/>
          <w:i/>
        </w:rPr>
      </w:pPr>
      <w:r>
        <w:rPr>
          <w:rFonts w:cs="Arial"/>
          <w:i/>
        </w:rPr>
        <w:t>Tablica 6.1 Ciljevi za gospodarenje otpadom koje je potrebno postići do 2022. godine u odnosu na 2015. godinu</w:t>
      </w:r>
    </w:p>
    <w:p>
      <w:pPr>
        <w:pStyle w:val="Normal"/>
        <w:spacing w:lineRule="auto" w:line="276"/>
        <w:jc w:val="center"/>
        <w:rPr>
          <w:rFonts w:cs="Arial"/>
        </w:rPr>
      </w:pPr>
      <w:r>
        <w:rPr/>
        <w:drawing>
          <wp:inline distT="0" distB="0" distL="0" distR="0">
            <wp:extent cx="4701540" cy="3383280"/>
            <wp:effectExtent l="0" t="0" r="0" b="0"/>
            <wp:docPr id="13" name="Slika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2" descr=""/>
                    <pic:cNvPicPr>
                      <a:picLocks noChangeAspect="1" noChangeArrowheads="1"/>
                    </pic:cNvPicPr>
                  </pic:nvPicPr>
                  <pic:blipFill>
                    <a:blip r:embed="rId11"/>
                    <a:stretch>
                      <a:fillRect/>
                    </a:stretch>
                  </pic:blipFill>
                  <pic:spPr bwMode="auto">
                    <a:xfrm>
                      <a:off x="0" y="0"/>
                      <a:ext cx="4701540" cy="3383280"/>
                    </a:xfrm>
                    <a:prstGeom prst="rect">
                      <a:avLst/>
                    </a:prstGeom>
                  </pic:spPr>
                </pic:pic>
              </a:graphicData>
            </a:graphic>
          </wp:inline>
        </w:drawing>
      </w:r>
    </w:p>
    <w:p>
      <w:pPr>
        <w:pStyle w:val="Normal"/>
        <w:spacing w:lineRule="auto" w:line="276"/>
        <w:jc w:val="center"/>
        <w:rPr>
          <w:rFonts w:cs="Arial"/>
        </w:rPr>
      </w:pPr>
      <w:r>
        <w:rPr/>
        <w:drawing>
          <wp:inline distT="0" distB="0" distL="0" distR="0">
            <wp:extent cx="4686300" cy="1348740"/>
            <wp:effectExtent l="0" t="0" r="0" b="0"/>
            <wp:docPr id="14" name="Slika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5" descr=""/>
                    <pic:cNvPicPr>
                      <a:picLocks noChangeAspect="1" noChangeArrowheads="1"/>
                    </pic:cNvPicPr>
                  </pic:nvPicPr>
                  <pic:blipFill>
                    <a:blip r:embed="rId12"/>
                    <a:stretch>
                      <a:fillRect/>
                    </a:stretch>
                  </pic:blipFill>
                  <pic:spPr bwMode="auto">
                    <a:xfrm>
                      <a:off x="0" y="0"/>
                      <a:ext cx="4686300" cy="1348740"/>
                    </a:xfrm>
                    <a:prstGeom prst="rect">
                      <a:avLst/>
                    </a:prstGeom>
                  </pic:spPr>
                </pic:pic>
              </a:graphicData>
            </a:graphic>
          </wp:inline>
        </w:drawing>
      </w:r>
    </w:p>
    <w:p>
      <w:pPr>
        <w:pStyle w:val="Normal"/>
        <w:rPr>
          <w:i/>
          <w:i/>
          <w:sz w:val="18"/>
        </w:rPr>
      </w:pPr>
      <w:r>
        <w:rPr>
          <w:i/>
          <w:sz w:val="18"/>
        </w:rPr>
        <w:t>Izvor: Plan gospodarenja otpadom RH 2017. - 2022. godine</w:t>
      </w:r>
    </w:p>
    <w:p>
      <w:pPr>
        <w:pStyle w:val="Normal"/>
        <w:rPr>
          <w:i/>
          <w:i/>
        </w:rPr>
      </w:pPr>
      <w:r>
        <w:rPr>
          <w:i/>
        </w:rPr>
      </w:r>
    </w:p>
    <w:p>
      <w:pPr>
        <w:pStyle w:val="Normal"/>
        <w:spacing w:lineRule="auto" w:line="276"/>
        <w:rPr>
          <w:rFonts w:cs="Arial"/>
          <w:color w:val="000000"/>
        </w:rPr>
      </w:pPr>
      <w:r>
        <w:rPr>
          <w:rFonts w:cs="Arial"/>
          <w:color w:val="000000"/>
        </w:rPr>
        <w:t xml:space="preserve">Kroz ovaj Plan gospodarenja otpadom predviđa se provedba niza mjera, smjernica i aktivnosti (ulaganja), kojima će se osigurati uspostava cjelovitog i učinkovitog sustava gospodarenja otpadom, uz istovremenu integraciju već postojećih sustava i građevina  gospodarenja otpadom, predviđenim i izgrađenim u okviru prethodnog planskog razdoblja.  </w:t>
      </w:r>
    </w:p>
    <w:p>
      <w:pPr>
        <w:pStyle w:val="Heading1"/>
        <w:rPr/>
      </w:pPr>
      <w:bookmarkStart w:id="33" w:name="_Toc475347839"/>
      <w:bookmarkEnd w:id="33"/>
      <w:r>
        <w:rPr/>
        <w:t>6.1 Opće mjere za gospodarenje otpadom</w:t>
      </w:r>
    </w:p>
    <w:p>
      <w:pPr>
        <w:pStyle w:val="Normal"/>
        <w:rPr/>
      </w:pPr>
      <w:r>
        <w:rPr/>
      </w:r>
    </w:p>
    <w:p>
      <w:pPr>
        <w:pStyle w:val="ListParagraph"/>
        <w:numPr>
          <w:ilvl w:val="0"/>
          <w:numId w:val="3"/>
        </w:numPr>
        <w:rPr/>
      </w:pPr>
      <w:r>
        <w:rPr/>
        <w:t>Unaprijediti sustav odvojenog sakupljanja komunalnog otpada</w:t>
      </w:r>
    </w:p>
    <w:p>
      <w:pPr>
        <w:pStyle w:val="ListParagraph"/>
        <w:rPr/>
      </w:pPr>
      <w:r>
        <w:rPr/>
      </w:r>
    </w:p>
    <w:p>
      <w:pPr>
        <w:pStyle w:val="Normal"/>
        <w:spacing w:lineRule="auto" w:line="276"/>
        <w:ind w:left="708" w:hanging="0"/>
        <w:rPr>
          <w:rFonts w:cs="Arial"/>
          <w:color w:val="000000"/>
        </w:rPr>
      </w:pPr>
      <w:r>
        <w:rPr>
          <w:rFonts w:cs="Arial"/>
          <w:color w:val="000000"/>
        </w:rPr>
        <w:t xml:space="preserve">U predstojećem planskom razdoblju treba nastaviti sa  aktivnostima na unaprjeđenju već postojećeg  sustava odvojenog sakupljanja komunalnog otpada, prvenstveno kroz razvoj infrastrukture i nabavu opreme, te edukaciju i informiranje dionika sustava  te revizijom tarifnog sustava na način da se usluga skupljanja i zbrinjavanja naplaćuje po količini proizvedenog otpada.  </w:t>
      </w:r>
    </w:p>
    <w:p>
      <w:pPr>
        <w:pStyle w:val="Normal"/>
        <w:spacing w:lineRule="auto" w:line="276"/>
        <w:ind w:left="708" w:hanging="0"/>
        <w:rPr>
          <w:rFonts w:cs="Arial"/>
          <w:color w:val="000000"/>
        </w:rPr>
      </w:pPr>
      <w:r>
        <w:rPr>
          <w:rFonts w:cs="Arial"/>
          <w:color w:val="000000"/>
        </w:rPr>
        <w:t xml:space="preserve">Unaprjeđenje sustava odvojenog sakupljanja komunalnog otpada provest će se poboljšanjem kvalitete primarne selekcije otpada putem spremnika na „kućnom pragu“, povećanjem broja spremnika na javnoj površini (zeleni otoci) i njihovom odgovarajućom prostornom distribucijom i izgradnjom </w:t>
      </w:r>
      <w:r>
        <w:rPr>
          <w:rFonts w:cs="Arial"/>
          <w:color w:val="000000"/>
        </w:rPr>
        <w:t>mobilnog</w:t>
      </w:r>
      <w:r>
        <w:rPr>
          <w:rFonts w:cs="Arial"/>
          <w:color w:val="000000"/>
        </w:rPr>
        <w:t xml:space="preserve"> reciklažnih dvorišta. </w:t>
      </w:r>
    </w:p>
    <w:p>
      <w:pPr>
        <w:pStyle w:val="Normal"/>
        <w:spacing w:lineRule="auto" w:line="276"/>
        <w:rPr>
          <w:rFonts w:cs="Arial"/>
          <w:color w:val="000000"/>
        </w:rPr>
      </w:pPr>
      <w:r>
        <w:rPr>
          <w:rFonts w:cs="Arial"/>
          <w:color w:val="000000"/>
        </w:rPr>
      </w:r>
    </w:p>
    <w:p>
      <w:pPr>
        <w:pStyle w:val="ListParagraph"/>
        <w:numPr>
          <w:ilvl w:val="0"/>
          <w:numId w:val="3"/>
        </w:numPr>
        <w:spacing w:lineRule="auto" w:line="276"/>
        <w:rPr>
          <w:rFonts w:cs="Arial"/>
          <w:color w:val="000000"/>
        </w:rPr>
      </w:pPr>
      <w:r>
        <w:rPr>
          <w:rFonts w:cs="Arial"/>
          <w:color w:val="000000"/>
        </w:rPr>
        <w:t>Unaprijediti sustav obrade biorazgradivog otpada</w:t>
      </w:r>
    </w:p>
    <w:p>
      <w:pPr>
        <w:pStyle w:val="ListParagraph"/>
        <w:spacing w:lineRule="auto" w:line="276"/>
        <w:rPr>
          <w:rFonts w:cs="Arial"/>
          <w:color w:val="000000"/>
        </w:rPr>
      </w:pPr>
      <w:r>
        <w:rPr>
          <w:rFonts w:cs="Arial"/>
          <w:color w:val="000000"/>
        </w:rPr>
      </w:r>
    </w:p>
    <w:p>
      <w:pPr>
        <w:pStyle w:val="Normal"/>
        <w:spacing w:lineRule="auto" w:line="276"/>
        <w:ind w:left="708" w:hanging="0"/>
        <w:rPr/>
      </w:pPr>
      <w:r>
        <w:rPr>
          <w:rFonts w:cs="Arial"/>
          <w:color w:val="000000"/>
        </w:rPr>
        <w:t xml:space="preserve">Unaprjeđenjem sustava odvojenog sakupljanja komunalnog otpada, gdje postoji mogućnost odvojenog sakupljanja biootpada na „kućnom pragu“ i postavljanja posebnih spremnika za biorazgradivi otpad u sklopu </w:t>
      </w:r>
      <w:r>
        <w:rPr>
          <w:rFonts w:cs="Arial"/>
          <w:color w:val="000000"/>
        </w:rPr>
        <w:t xml:space="preserve">mobilnog </w:t>
      </w:r>
      <w:r>
        <w:rPr>
          <w:rFonts w:cs="Arial"/>
          <w:color w:val="000000"/>
        </w:rPr>
        <w:t xml:space="preserve">reciklažnog dvorišta.  </w:t>
      </w:r>
    </w:p>
    <w:p>
      <w:pPr>
        <w:pStyle w:val="Normal"/>
        <w:spacing w:lineRule="auto" w:line="276"/>
        <w:ind w:left="708" w:hanging="0"/>
        <w:rPr/>
      </w:pPr>
      <w:r>
        <w:rPr>
          <w:rFonts w:cs="Arial"/>
          <w:color w:val="000000"/>
        </w:rPr>
        <w:t xml:space="preserve">Potrebno je provesti javnu edukaciju mještana sa ciljem razloga izdvajanja biootpada iz komunalnog otpada. S tim u vezi na stranicama Općine i putem letaka, potrebno je obučiti mještane za izradu komposta. Općina će uz sufinanciranje fonda kupiti kompostere i podjeliti ih mještanima za obradu vlastitog komposta. </w:t>
      </w:r>
    </w:p>
    <w:p>
      <w:pPr>
        <w:pStyle w:val="Normal"/>
        <w:spacing w:lineRule="auto" w:line="276"/>
        <w:ind w:left="708" w:hanging="0"/>
        <w:rPr>
          <w:rFonts w:cs="Arial"/>
          <w:color w:val="000000"/>
        </w:rPr>
      </w:pPr>
      <w:r>
        <w:rPr>
          <w:rFonts w:cs="Arial"/>
          <w:color w:val="000000"/>
        </w:rPr>
        <w:t xml:space="preserve">Dodatno, unaprjeđenje sustava obrade biorazgradivog otpada provest će se nastavkom aktivnosti izgradnje građevine za biološku obradu otpada (postrojenja za kompostiranje) na odlagalištu otpada. </w:t>
      </w:r>
    </w:p>
    <w:p>
      <w:pPr>
        <w:pStyle w:val="Normal"/>
        <w:spacing w:lineRule="auto" w:line="276"/>
        <w:ind w:left="708" w:hanging="0"/>
        <w:rPr>
          <w:rFonts w:cs="Arial"/>
          <w:color w:val="000000"/>
        </w:rPr>
      </w:pPr>
      <w:r>
        <w:rPr>
          <w:rFonts w:cs="Arial"/>
          <w:color w:val="000000"/>
        </w:rPr>
        <w:t xml:space="preserve">U sklopu Plana sprječavanja nastanka otpada dodatno su predviđene aktivnosti  promicanja kućnog kompostiranja.  </w:t>
      </w:r>
    </w:p>
    <w:p>
      <w:pPr>
        <w:pStyle w:val="Normal"/>
        <w:spacing w:lineRule="auto" w:line="276"/>
        <w:rPr>
          <w:rFonts w:cs="Arial"/>
          <w:color w:val="000000"/>
        </w:rPr>
      </w:pPr>
      <w:r>
        <w:rPr>
          <w:rFonts w:cs="Arial"/>
          <w:color w:val="000000"/>
        </w:rPr>
      </w:r>
    </w:p>
    <w:p>
      <w:pPr>
        <w:pStyle w:val="Normal"/>
        <w:spacing w:lineRule="auto" w:line="276"/>
        <w:rPr>
          <w:rFonts w:cs="Arial"/>
          <w:color w:val="000000"/>
        </w:rPr>
      </w:pPr>
      <w:r>
        <w:rPr>
          <w:rFonts w:cs="Arial"/>
          <w:color w:val="000000"/>
        </w:rPr>
      </w:r>
    </w:p>
    <w:p>
      <w:pPr>
        <w:pStyle w:val="Normal"/>
        <w:spacing w:lineRule="auto" w:line="276"/>
        <w:rPr>
          <w:rFonts w:cs="Arial"/>
          <w:color w:val="000000"/>
        </w:rPr>
      </w:pPr>
      <w:r>
        <w:rPr>
          <w:rFonts w:cs="Arial"/>
          <w:color w:val="000000"/>
        </w:rPr>
      </w:r>
    </w:p>
    <w:p>
      <w:pPr>
        <w:pStyle w:val="Normal"/>
        <w:spacing w:lineRule="auto" w:line="276"/>
        <w:rPr>
          <w:rFonts w:cs="Arial"/>
          <w:color w:val="000000"/>
        </w:rPr>
      </w:pPr>
      <w:r>
        <w:rPr>
          <w:rFonts w:cs="Arial"/>
          <w:color w:val="000000"/>
        </w:rPr>
      </w:r>
    </w:p>
    <w:p>
      <w:pPr>
        <w:pStyle w:val="Normal"/>
        <w:spacing w:lineRule="auto" w:line="276"/>
        <w:rPr>
          <w:rFonts w:cs="Arial"/>
          <w:color w:val="000000"/>
        </w:rPr>
      </w:pPr>
      <w:r>
        <w:rPr>
          <w:rFonts w:cs="Arial"/>
          <w:color w:val="000000"/>
        </w:rPr>
      </w:r>
    </w:p>
    <w:p>
      <w:pPr>
        <w:pStyle w:val="Normal"/>
        <w:spacing w:lineRule="auto" w:line="276"/>
        <w:rPr>
          <w:rFonts w:cs="Arial"/>
          <w:color w:val="000000"/>
        </w:rPr>
      </w:pPr>
      <w:r>
        <w:rPr>
          <w:rFonts w:cs="Arial"/>
          <w:color w:val="000000"/>
        </w:rPr>
      </w:r>
    </w:p>
    <w:p>
      <w:pPr>
        <w:pStyle w:val="Normal"/>
        <w:spacing w:lineRule="auto" w:line="276"/>
        <w:rPr>
          <w:rFonts w:cs="Arial"/>
          <w:color w:val="000000"/>
        </w:rPr>
      </w:pPr>
      <w:r>
        <w:rPr>
          <w:rFonts w:cs="Arial"/>
          <w:color w:val="000000"/>
        </w:rPr>
      </w:r>
    </w:p>
    <w:p>
      <w:pPr>
        <w:pStyle w:val="Heading2"/>
        <w:rPr/>
      </w:pPr>
      <w:bookmarkStart w:id="34" w:name="_Toc475347840"/>
      <w:bookmarkEnd w:id="34"/>
      <w:r>
        <w:rPr/>
        <w:t>6.2 Mjere za gospodarenje opasnim otpadom</w:t>
      </w:r>
    </w:p>
    <w:p>
      <w:pPr>
        <w:pStyle w:val="Normal"/>
        <w:rPr/>
      </w:pPr>
      <w:r>
        <w:rPr/>
      </w:r>
    </w:p>
    <w:p>
      <w:pPr>
        <w:pStyle w:val="Normal"/>
        <w:spacing w:lineRule="auto" w:line="276"/>
        <w:rPr>
          <w:rFonts w:cs="Arial"/>
          <w:color w:val="000000"/>
        </w:rPr>
      </w:pPr>
      <w:r>
        <w:rPr>
          <w:rFonts w:cs="Arial"/>
          <w:color w:val="000000"/>
        </w:rPr>
        <w:t xml:space="preserve">Unaprjeđenje sustava gospodarenja opasnim otpadom provest će se izgradnjom </w:t>
      </w:r>
      <w:r>
        <w:rPr>
          <w:rFonts w:cs="Arial"/>
          <w:color w:val="000000"/>
        </w:rPr>
        <w:t xml:space="preserve">mobilnog </w:t>
      </w:r>
      <w:r>
        <w:rPr>
          <w:rFonts w:cs="Arial"/>
          <w:color w:val="000000"/>
        </w:rPr>
        <w:t xml:space="preserve">reciklažnog dvorišta. Svi mještani će u isto moći dovesti problematičan otpad (kante od boje, ulja, zaštitnih sredstava...) sa popisa problematičnog otpada koji se može predati u reciklažno dvorište. Predaja opasnog/problematičnog otpada za mještane je besplatna. U </w:t>
      </w:r>
      <w:r>
        <w:rPr>
          <w:rFonts w:cs="Arial"/>
          <w:color w:val="000000"/>
        </w:rPr>
        <w:t xml:space="preserve">mobilna </w:t>
      </w:r>
      <w:r>
        <w:rPr>
          <w:rFonts w:cs="Arial"/>
          <w:color w:val="000000"/>
        </w:rPr>
        <w:t>reciklažna dvorišta problematični otpad mogu predati i pravne osobe sa područja Općine, ali uz naplatu.</w:t>
      </w:r>
    </w:p>
    <w:p>
      <w:pPr>
        <w:pStyle w:val="Normal"/>
        <w:spacing w:lineRule="auto" w:line="276"/>
        <w:rPr>
          <w:rFonts w:cs="Arial"/>
          <w:color w:val="000000"/>
        </w:rPr>
      </w:pPr>
      <w:r>
        <w:rPr>
          <w:rFonts w:cs="Arial"/>
          <w:color w:val="000000"/>
        </w:rPr>
        <w:t>Prilikom dovoza problematičnog otpada od strane mještana, osoba koja upravlja reciklažnim dvorištem dužna je identificirati osobu kako bi se utvrdilo je li sa područja Općine.</w:t>
      </w:r>
    </w:p>
    <w:p>
      <w:pPr>
        <w:pStyle w:val="Normal"/>
        <w:spacing w:lineRule="auto" w:line="276"/>
        <w:rPr>
          <w:rFonts w:cs="Arial"/>
          <w:color w:val="000000"/>
        </w:rPr>
      </w:pPr>
      <w:r>
        <w:rPr>
          <w:rFonts w:cs="Arial"/>
          <w:color w:val="000000"/>
        </w:rPr>
      </w:r>
    </w:p>
    <w:p>
      <w:pPr>
        <w:pStyle w:val="Heading2"/>
        <w:rPr/>
      </w:pPr>
      <w:bookmarkStart w:id="35" w:name="_Toc475347841"/>
      <w:bookmarkEnd w:id="35"/>
      <w:r>
        <w:rPr/>
        <w:t>6.3 Mjere za sanaciju Planom utvrđenih lokacija onečišćenih otpadom</w:t>
      </w:r>
    </w:p>
    <w:p>
      <w:pPr>
        <w:pStyle w:val="Normal"/>
        <w:rPr/>
      </w:pPr>
      <w:r>
        <w:rPr/>
      </w:r>
    </w:p>
    <w:p>
      <w:pPr>
        <w:pStyle w:val="Normal"/>
        <w:spacing w:lineRule="auto" w:line="276"/>
        <w:rPr>
          <w:rFonts w:cs="Arial"/>
          <w:color w:val="000000"/>
        </w:rPr>
      </w:pPr>
      <w:r>
        <w:rPr>
          <w:rFonts w:cs="Arial"/>
          <w:color w:val="000000"/>
        </w:rPr>
        <w:t xml:space="preserve">Nastavak aktivnosti sanacije  „divljih“ odlagališta i „crnih točaka“.  </w:t>
      </w:r>
    </w:p>
    <w:p>
      <w:pPr>
        <w:pStyle w:val="Normal"/>
        <w:spacing w:lineRule="auto" w:line="276"/>
        <w:rPr/>
      </w:pPr>
      <w:r>
        <w:rPr>
          <w:rFonts w:cs="Arial"/>
          <w:color w:val="000000"/>
        </w:rPr>
        <w:t>Kroz povećani nadzor komunalnog redara i uspostavu komunikacije sa mještanima Općine, spriječiti odlaganje otpada u okoliš i stvaranje novih divljih odlagališta. U tom cilju potrebno je pored objave na web stranicama Općine, putem letaka ili/i plakata obučiti i informirati sve mještane o prijavi svih uočenih nepravilnosti vezanih uz odbacivanje otpada na zelene površine.</w:t>
      </w:r>
    </w:p>
    <w:p>
      <w:pPr>
        <w:pStyle w:val="Normal"/>
        <w:rPr/>
      </w:pPr>
      <w:r>
        <w:rPr/>
      </w:r>
    </w:p>
    <w:p>
      <w:pPr>
        <w:pStyle w:val="Normal"/>
        <w:rPr/>
      </w:pPr>
      <w:r>
        <w:rPr/>
      </w:r>
    </w:p>
    <w:p>
      <w:pPr>
        <w:pStyle w:val="Heading2"/>
        <w:rPr/>
      </w:pPr>
      <w:bookmarkStart w:id="36" w:name="_Toc475347842"/>
      <w:bookmarkEnd w:id="36"/>
      <w:r>
        <w:rPr/>
        <w:t>6.4 Mjere za gospodarenje otpadom koji predstavlja posebne probleme u gospodarenju</w:t>
      </w:r>
    </w:p>
    <w:p>
      <w:pPr>
        <w:pStyle w:val="Normal"/>
        <w:rPr/>
      </w:pPr>
      <w:r>
        <w:rPr/>
      </w:r>
    </w:p>
    <w:p>
      <w:pPr>
        <w:pStyle w:val="Normal"/>
        <w:spacing w:lineRule="auto" w:line="276"/>
        <w:rPr/>
      </w:pPr>
      <w:r>
        <w:rPr>
          <w:rFonts w:cs="Arial"/>
          <w:color w:val="000000"/>
        </w:rPr>
        <w:t xml:space="preserve">Ovaj Plan gospodarenja otpadom prepoznao je, osim komunalnog otpada i druge prioritetne tokove  otpada: građevni otpad, otpadni tekstil i obuća, medicinski otpad i ambalažni otpad.  Za svaki navedeni otpad uspostaviti će se odgovarajući sustav gospodarenja. </w:t>
      </w:r>
    </w:p>
    <w:p>
      <w:pPr>
        <w:pStyle w:val="Normal"/>
        <w:spacing w:lineRule="auto" w:line="276"/>
        <w:rPr/>
      </w:pPr>
      <w:r>
        <w:rPr>
          <w:rFonts w:cs="Arial"/>
          <w:color w:val="000000"/>
        </w:rPr>
        <w:t xml:space="preserve">Unaprjeđenje sustava gospodarenja građevnim otpadom dodatno će se postići izgradnjom </w:t>
      </w:r>
      <w:r>
        <w:rPr>
          <w:rFonts w:cs="Arial"/>
          <w:color w:val="000000"/>
        </w:rPr>
        <w:t xml:space="preserve">mobilnog </w:t>
      </w:r>
      <w:r>
        <w:rPr>
          <w:rFonts w:cs="Arial"/>
          <w:color w:val="000000"/>
        </w:rPr>
        <w:t xml:space="preserve">reciklažnog  dvorišta za građevni otpad i uspostavom odlagališta građevnog otpada. </w:t>
      </w:r>
    </w:p>
    <w:p>
      <w:pPr>
        <w:pStyle w:val="Normal"/>
        <w:spacing w:lineRule="auto" w:line="276"/>
        <w:rPr>
          <w:rFonts w:cs="Arial"/>
          <w:color w:val="000000"/>
        </w:rPr>
      </w:pPr>
      <w:r>
        <w:rPr>
          <w:rFonts w:cs="Arial"/>
          <w:color w:val="000000"/>
        </w:rPr>
        <w:t>Za zadovoljavanje budućih potreba vezano za gospodarenje otpadom koji sadrži azbest potrebno je  osigurati najmanje jednu lokaciju kazete za azbest na području JP(R)S u sklopu postojećeg ili novog odlagališta za neopasni otpad. Također, JLS treba na svom području ustrojiti i voditi bazu podataka s popisom zgrada i proizvodnih pogona na njezinom teritorijalnom području, koje sadrže azbest i to kao pokrov ili kao drugi građevni materijal te izraditi Plan postupanja zamjene azbesta drugim građevnim materijalima za zgrade i proizvodne pogone koji sadrže azbest kao pokrov ili neki drugi građevni materijal, a koji mora sadržavati i podatke o procijenjenim količinama otpada koji sadrži azbest.</w:t>
      </w:r>
    </w:p>
    <w:p>
      <w:pPr>
        <w:pStyle w:val="Normal"/>
        <w:spacing w:lineRule="auto" w:line="276"/>
        <w:rPr>
          <w:rFonts w:cs="Arial"/>
          <w:color w:val="000000"/>
        </w:rPr>
      </w:pPr>
      <w:r>
        <w:rPr>
          <w:rFonts w:cs="Arial"/>
          <w:color w:val="000000"/>
        </w:rPr>
        <w:t xml:space="preserve">Unaprjeđenje sustava gospodarenja otpadnim tekstilom i obućom provest će se postavljanjem kontejnera za sakupljanje istog.  </w:t>
      </w:r>
    </w:p>
    <w:p>
      <w:pPr>
        <w:pStyle w:val="Normal"/>
        <w:spacing w:lineRule="auto" w:line="276"/>
        <w:rPr>
          <w:rFonts w:cs="Arial"/>
          <w:color w:val="000000"/>
        </w:rPr>
      </w:pPr>
      <w:r>
        <w:rPr>
          <w:rFonts w:cs="Arial"/>
          <w:color w:val="000000"/>
        </w:rPr>
        <w:t xml:space="preserve">Unaprjeđenje sustava gospodarenja ambalažnim otpadom provesti će se postojećim sustavom sakupljanja, uspostavom kvalitetnije organizacije sakupljanja ambalažnog otpada kojom će biti obuhvaćen sav ambalažni otpad koji nastaje. </w:t>
      </w:r>
    </w:p>
    <w:p>
      <w:pPr>
        <w:pStyle w:val="Normal"/>
        <w:spacing w:lineRule="auto" w:line="276"/>
        <w:rPr>
          <w:rFonts w:cs="Arial"/>
          <w:color w:val="000000"/>
        </w:rPr>
      </w:pPr>
      <w:r>
        <w:rPr>
          <w:rFonts w:cs="Arial"/>
          <w:color w:val="000000"/>
        </w:rPr>
      </w:r>
    </w:p>
    <w:p>
      <w:pPr>
        <w:pStyle w:val="Normal"/>
        <w:spacing w:lineRule="auto" w:line="276"/>
        <w:rPr>
          <w:rFonts w:cs="Arial"/>
          <w:color w:val="000000"/>
        </w:rPr>
      </w:pPr>
      <w:r>
        <w:rPr>
          <w:rFonts w:cs="Arial"/>
          <w:color w:val="000000"/>
        </w:rPr>
      </w:r>
    </w:p>
    <w:p>
      <w:pPr>
        <w:pStyle w:val="Heading2"/>
        <w:rPr/>
      </w:pPr>
      <w:bookmarkStart w:id="37" w:name="_Toc475347843"/>
      <w:bookmarkEnd w:id="37"/>
      <w:r>
        <w:rPr/>
        <w:t>6.5 Mjere za gospodarenje ostalim posebnim kategorijama otpada</w:t>
      </w:r>
    </w:p>
    <w:p>
      <w:pPr>
        <w:pStyle w:val="Normal"/>
        <w:rPr/>
      </w:pPr>
      <w:r>
        <w:rPr/>
      </w:r>
    </w:p>
    <w:p>
      <w:pPr>
        <w:pStyle w:val="Normal"/>
        <w:spacing w:lineRule="auto" w:line="276"/>
        <w:rPr>
          <w:rFonts w:cs="Arial"/>
          <w:color w:val="000000"/>
        </w:rPr>
      </w:pPr>
      <w:r>
        <w:rPr>
          <w:rFonts w:cs="Arial"/>
          <w:color w:val="000000"/>
        </w:rPr>
        <w:t xml:space="preserve">Za otpadna vozila, otpadne baterije i akumulatore, otpadne gume, električni i elektronički otpad, nastaviti će se postojećim načinom sakupljanja. </w:t>
      </w:r>
    </w:p>
    <w:p>
      <w:pPr>
        <w:pStyle w:val="Normal"/>
        <w:spacing w:lineRule="auto" w:line="276"/>
        <w:rPr>
          <w:rFonts w:cs="Arial"/>
          <w:color w:val="000000"/>
        </w:rPr>
      </w:pPr>
      <w:r>
        <w:rPr>
          <w:rFonts w:cs="Arial"/>
          <w:color w:val="000000"/>
        </w:rPr>
        <w:t xml:space="preserve">Za unapređenje sustava potrebno je informativnim lecima uputiti mještane na način zbrinjavanja ovih posebnih kategorija otpada.  </w:t>
      </w:r>
    </w:p>
    <w:p>
      <w:pPr>
        <w:pStyle w:val="Normal"/>
        <w:spacing w:lineRule="auto" w:line="276"/>
        <w:rPr>
          <w:rFonts w:cs="Arial"/>
          <w:color w:val="000000"/>
        </w:rPr>
      </w:pPr>
      <w:r>
        <w:rPr>
          <w:rFonts w:cs="Arial"/>
          <w:color w:val="000000"/>
        </w:rPr>
      </w:r>
    </w:p>
    <w:p>
      <w:pPr>
        <w:pStyle w:val="Normal"/>
        <w:spacing w:lineRule="auto" w:line="276"/>
        <w:rPr>
          <w:rFonts w:cs="Arial"/>
          <w:color w:val="000000"/>
        </w:rPr>
      </w:pPr>
      <w:r>
        <w:rPr>
          <w:rFonts w:cs="Arial"/>
          <w:color w:val="000000"/>
        </w:rPr>
      </w:r>
    </w:p>
    <w:p>
      <w:pPr>
        <w:pStyle w:val="Heading2"/>
        <w:rPr/>
      </w:pPr>
      <w:bookmarkStart w:id="38" w:name="_Toc475347844"/>
      <w:bookmarkEnd w:id="38"/>
      <w:r>
        <w:rPr/>
        <w:t>6.6 Akcije sakupljanja otpada</w:t>
      </w:r>
    </w:p>
    <w:p>
      <w:pPr>
        <w:pStyle w:val="Normal"/>
        <w:rPr/>
      </w:pPr>
      <w:r>
        <w:rPr/>
      </w:r>
    </w:p>
    <w:p>
      <w:pPr>
        <w:pStyle w:val="Normal"/>
        <w:spacing w:lineRule="auto" w:line="276"/>
        <w:rPr/>
      </w:pPr>
      <w:r>
        <w:rPr>
          <w:rFonts w:cs="Arial"/>
          <w:color w:val="000000"/>
        </w:rPr>
        <w:t>U svrhu ostvarenja cilja sprječavanja i smanjenja nastanka otpada, Općina može sukladno članku 40. ZOGO provoditi godišnje akcije prikupljanja otpada.</w:t>
      </w:r>
    </w:p>
    <w:p>
      <w:pPr>
        <w:pStyle w:val="Normal"/>
        <w:spacing w:lineRule="auto" w:line="276"/>
        <w:rPr>
          <w:rFonts w:cs="Arial"/>
          <w:color w:val="000000"/>
        </w:rPr>
      </w:pPr>
      <w:r>
        <w:rPr>
          <w:rFonts w:cs="Arial"/>
          <w:color w:val="000000"/>
        </w:rPr>
        <w:t>O provedbi planova i akcija vezanih uz gospodarenje otpadom,  Općina  pravovaljano obavještava zainteresiranu javnost putem javnih glasila i putem web stranice, te informativnim letcima.</w:t>
      </w:r>
    </w:p>
    <w:p>
      <w:pPr>
        <w:pStyle w:val="Normal"/>
        <w:spacing w:lineRule="auto" w:line="276"/>
        <w:rPr>
          <w:rFonts w:cs="Arial"/>
          <w:color w:val="000000"/>
        </w:rPr>
      </w:pPr>
      <w:r>
        <w:rPr>
          <w:rFonts w:cs="Arial"/>
          <w:color w:val="000000"/>
        </w:rPr>
      </w:r>
    </w:p>
    <w:p>
      <w:pPr>
        <w:pStyle w:val="Normal"/>
        <w:spacing w:lineRule="auto" w:line="276"/>
        <w:rPr>
          <w:rFonts w:cs="Arial"/>
          <w:color w:val="000000"/>
        </w:rPr>
      </w:pPr>
      <w:r>
        <w:rPr>
          <w:rFonts w:cs="Arial"/>
          <w:color w:val="000000"/>
        </w:rPr>
      </w:r>
    </w:p>
    <w:p>
      <w:pPr>
        <w:pStyle w:val="Normal"/>
        <w:spacing w:lineRule="auto" w:line="276"/>
        <w:rPr>
          <w:rFonts w:cs="Arial"/>
          <w:color w:val="000000"/>
        </w:rPr>
      </w:pPr>
      <w:r>
        <w:rPr>
          <w:rFonts w:cs="Arial"/>
          <w:color w:val="000000"/>
        </w:rPr>
      </w:r>
    </w:p>
    <w:p>
      <w:pPr>
        <w:pStyle w:val="Normal"/>
        <w:spacing w:lineRule="auto" w:line="276"/>
        <w:rPr>
          <w:rFonts w:cs="Arial"/>
          <w:color w:val="000000"/>
        </w:rPr>
      </w:pPr>
      <w:r>
        <w:rPr>
          <w:rFonts w:cs="Arial"/>
          <w:color w:val="000000"/>
        </w:rPr>
      </w:r>
    </w:p>
    <w:p>
      <w:pPr>
        <w:pStyle w:val="Normal"/>
        <w:spacing w:lineRule="auto" w:line="276"/>
        <w:rPr>
          <w:rFonts w:cs="Arial"/>
          <w:color w:val="000000"/>
        </w:rPr>
      </w:pPr>
      <w:r>
        <w:rPr>
          <w:rFonts w:cs="Arial"/>
          <w:color w:val="000000"/>
        </w:rPr>
      </w:r>
    </w:p>
    <w:p>
      <w:pPr>
        <w:pStyle w:val="Normal"/>
        <w:spacing w:lineRule="auto" w:line="276"/>
        <w:rPr>
          <w:rFonts w:cs="Arial"/>
          <w:color w:val="000000"/>
        </w:rPr>
      </w:pPr>
      <w:r>
        <w:rPr>
          <w:rFonts w:cs="Arial"/>
          <w:color w:val="000000"/>
        </w:rPr>
      </w:r>
    </w:p>
    <w:p>
      <w:pPr>
        <w:pStyle w:val="Normal"/>
        <w:spacing w:lineRule="auto" w:line="276"/>
        <w:rPr>
          <w:rFonts w:cs="Arial"/>
          <w:color w:val="000000"/>
        </w:rPr>
      </w:pPr>
      <w:r>
        <w:rPr>
          <w:rFonts w:cs="Arial"/>
          <w:color w:val="000000"/>
        </w:rPr>
      </w:r>
    </w:p>
    <w:p>
      <w:pPr>
        <w:pStyle w:val="Normal"/>
        <w:spacing w:lineRule="auto" w:line="276"/>
        <w:rPr>
          <w:rFonts w:cs="Arial"/>
          <w:color w:val="000000"/>
        </w:rPr>
      </w:pPr>
      <w:r>
        <w:rPr>
          <w:rFonts w:cs="Arial"/>
          <w:color w:val="000000"/>
        </w:rPr>
      </w:r>
    </w:p>
    <w:p>
      <w:pPr>
        <w:pStyle w:val="Normal"/>
        <w:spacing w:lineRule="auto" w:line="276"/>
        <w:rPr>
          <w:rFonts w:cs="Arial"/>
          <w:color w:val="000000"/>
        </w:rPr>
      </w:pPr>
      <w:r>
        <w:rPr>
          <w:rFonts w:cs="Arial"/>
          <w:color w:val="000000"/>
        </w:rPr>
      </w:r>
    </w:p>
    <w:p>
      <w:pPr>
        <w:pStyle w:val="Normal"/>
        <w:spacing w:lineRule="auto" w:line="276"/>
        <w:rPr>
          <w:rFonts w:cs="Arial"/>
          <w:color w:val="000000"/>
        </w:rPr>
      </w:pPr>
      <w:r>
        <w:rPr>
          <w:rFonts w:cs="Arial"/>
          <w:color w:val="000000"/>
        </w:rPr>
      </w:r>
    </w:p>
    <w:p>
      <w:pPr>
        <w:pStyle w:val="Heading2"/>
        <w:rPr/>
      </w:pPr>
      <w:bookmarkStart w:id="39" w:name="_Toc475347845"/>
      <w:bookmarkEnd w:id="39"/>
      <w:r>
        <w:rPr/>
        <w:t>6.7 Izobrazno-informativne aktivnosti</w:t>
      </w:r>
    </w:p>
    <w:p>
      <w:pPr>
        <w:pStyle w:val="Normal"/>
        <w:rPr/>
      </w:pPr>
      <w:r>
        <w:rPr/>
      </w:r>
    </w:p>
    <w:p>
      <w:pPr>
        <w:pStyle w:val="Normal"/>
        <w:spacing w:lineRule="auto" w:line="276"/>
        <w:rPr/>
      </w:pPr>
      <w:r>
        <w:rPr>
          <w:rFonts w:cs="Arial"/>
          <w:color w:val="000000"/>
        </w:rPr>
        <w:t>U postizanju ciljeva sakupljanja svih vrsta otpada, ključnu ulogu igra i izobrazba i informativne aktivnost. Općina će putem vlastitih stranica vršiti kontinuirano informiranje dionika u gospodarenju otpadom. Mogu se organizirati i tematski skupovi za mještane na temu sakupljanja pojedinih kategorija otpada. U školama se može provoditi i dodatna edukacija učenika na temu gospodarenja otpadom.</w:t>
      </w:r>
    </w:p>
    <w:p>
      <w:pPr>
        <w:pStyle w:val="Normal"/>
        <w:spacing w:lineRule="auto" w:line="276"/>
        <w:rPr/>
      </w:pPr>
      <w:r>
        <w:rPr>
          <w:rFonts w:cs="Arial"/>
        </w:rPr>
        <w:t>U cilju smanjenja i sprječavanja nastanka otpada planira se izrada edukativnih materijala i provedba edukacije koja će pridonijeti razvijanju ekološke svijesti svih mještana i promicanju razvrstavanja otpada u domaćinstvima, vrtićima, školama, svim poslovnim i gospodarskim subjektima. Isto tako, izradila je web stranicu na kojoj građani mogu dobiti sve informacije vezane za gospodarenje otpadom, upoznati se s planovima odvoza otpada (komunalnog, korisnog i glomaznog), educirati se vezano za izdvajanje korisnih vrsta otpada, kompostiranje i pripremu za odvoz glomaznog otpada. Informiranje  vezano za sve aktivnosti gospodarenja otpadom provodi se i putem medija - lokalnog radija, tiska, web portala. Nadalje je potrebno provoditi sustavnu edukaciju, izradu promidžbenih i edukacijskih materijala, kontinuirano informirati javnost o svim aktivnostima vezanim za okoliš, kreirati informacije i ekološke poruke u suradnji sa školama, ustanovama i tvrtkama i sl., a sve s ciljem poticanja svakog pojedinca u društvu na smanjivanje i sprečavanje nastanka otpada te pravilno postupanje s otpadom.</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1"/>
        <w:rPr/>
      </w:pPr>
      <w:bookmarkStart w:id="40" w:name="_Toc475347846"/>
      <w:bookmarkEnd w:id="40"/>
      <w:r>
        <w:rPr/>
        <w:t>7 OPĆE MJERE ZA GOSPODARENJE OTPADOM, OPASNIM OTPADOM I POSEBNIM KATEGORIJAMA OTPADA</w:t>
      </w:r>
    </w:p>
    <w:p>
      <w:pPr>
        <w:pStyle w:val="Normal"/>
        <w:rPr/>
      </w:pPr>
      <w:r>
        <w:rPr/>
      </w:r>
    </w:p>
    <w:p>
      <w:pPr>
        <w:pStyle w:val="Normal"/>
        <w:spacing w:lineRule="auto" w:line="276"/>
        <w:rPr>
          <w:rFonts w:cs="Arial"/>
          <w:color w:val="000000"/>
        </w:rPr>
      </w:pPr>
      <w:r>
        <w:rPr>
          <w:rFonts w:cs="Arial"/>
          <w:color w:val="000000"/>
        </w:rPr>
        <w:t xml:space="preserve">U predstojećem planskom razdoblju treba nastaviti sa  aktivnostima na unaprjeđenju već postojećeg  sustava odvojenog sakupljanja komunalnog otpada, prvenstveno kroz razvoj infrastrukture i nabavu opreme,  edukaciju i informiranje dionika sustava  te revizijom tarifnog sustava na način da se usluga skupljanja i zbrinjavanja naplaćuje po količini proizvedenog otpada.  </w:t>
      </w:r>
    </w:p>
    <w:p>
      <w:pPr>
        <w:pStyle w:val="Normal"/>
        <w:spacing w:lineRule="auto" w:line="276"/>
        <w:rPr/>
      </w:pPr>
      <w:r>
        <w:rPr>
          <w:rFonts w:cs="Arial"/>
          <w:color w:val="000000"/>
        </w:rPr>
        <w:t xml:space="preserve">Unaprjeđenje sustava odvojenog sakupljanja komunalnog otpada provest će se poboljšanjem kvalitete primarne selekcije otpada putem spremnika na  „kućnom pragu“, povećanjem broja spremnika na javnoj površini (zeleni otoci) i njihovom odgovarajućom prostornom distribucijom, izgradnjom reciklažnih dvorišta, podjelom kompostera za biorazgradivi otpad. </w:t>
      </w:r>
    </w:p>
    <w:p>
      <w:pPr>
        <w:pStyle w:val="Normal"/>
        <w:spacing w:lineRule="auto" w:line="276"/>
        <w:rPr/>
      </w:pPr>
      <w:r>
        <w:rPr>
          <w:rFonts w:cs="Arial"/>
        </w:rPr>
        <w:t xml:space="preserve">Sustav gospodarenja </w:t>
      </w:r>
      <w:r>
        <w:rPr>
          <w:rFonts w:cs="Arial"/>
          <w:b/>
        </w:rPr>
        <w:t>opasnim otpadom</w:t>
      </w:r>
      <w:r>
        <w:rPr>
          <w:rFonts w:cs="Arial"/>
        </w:rPr>
        <w:t xml:space="preserve"> potrebno je unaprijediti organizacijski i infrastrukturno na način da se izgradi reciklažno dvorište i provede edukacija mještana za pravilno izdvajanje opasnog otpada iz miješanog komunalnog otpada i predaja istog u reciklažna dvorišta.  </w:t>
      </w:r>
    </w:p>
    <w:p>
      <w:pPr>
        <w:pStyle w:val="Normal"/>
        <w:spacing w:lineRule="auto" w:line="276"/>
        <w:rPr/>
      </w:pPr>
      <w:r>
        <w:rPr>
          <w:rFonts w:cs="Arial"/>
        </w:rPr>
        <w:t xml:space="preserve">Izdvajanje opasnog otpada i posebnih kategorija otpada iz kućnog otpada građanima će biti omogućeno izgradnjom </w:t>
      </w:r>
      <w:r>
        <w:rPr>
          <w:rFonts w:cs="Arial"/>
        </w:rPr>
        <w:t>mobilnog</w:t>
      </w:r>
      <w:r>
        <w:rPr>
          <w:rFonts w:cs="Arial"/>
        </w:rPr>
        <w:t xml:space="preserve"> reciklažnog dvorišta. Izgradnja je planirana uz sufinanciranje Fonda za zaštitu okoliša i energetsku učinkovitost. U tijeku je ishođenje potrebne dokumentacije, a njegova izgradnja se planira u 2018. godini. Izgradnjom </w:t>
      </w:r>
      <w:r>
        <w:rPr>
          <w:rFonts w:cs="Arial"/>
        </w:rPr>
        <w:t xml:space="preserve">mobilnog </w:t>
      </w:r>
      <w:r>
        <w:rPr>
          <w:rFonts w:cs="Arial"/>
        </w:rPr>
        <w:t xml:space="preserve">reciklažnog dvorišta riješit će se problem zbrinjavanja problematičnog otpada iz domaćinstava (kiselina, lužina, kemikalija, ulja i masti, boja, baterija i akumulatora s opasnim svojstvima, ambalaže onečišćene opasnim tvarima i sl.) te posebnih kategorija otpada (građevinskog otpada, automobilskih guma, ambalažnog otpada, elektroničkog i električnog otpada, otpadnog tekstila, odjeće i obuće i sl.) smanjit će se količina otpada na odlagalištu i divljim odlagalištima, maksimalno će iskoristiti vrijedna svojstva otpada. </w:t>
      </w:r>
    </w:p>
    <w:p>
      <w:pPr>
        <w:pStyle w:val="Normal"/>
        <w:spacing w:lineRule="auto" w:line="276"/>
        <w:rPr/>
      </w:pPr>
      <w:r>
        <w:rPr>
          <w:rFonts w:cs="Arial"/>
          <w:color w:val="000000"/>
        </w:rPr>
        <w:t xml:space="preserve">Unaprjeđenje sustava gospodarenja </w:t>
      </w:r>
      <w:r>
        <w:rPr>
          <w:rFonts w:cs="Arial"/>
          <w:b/>
          <w:color w:val="000000"/>
        </w:rPr>
        <w:t>građevnim otpadom</w:t>
      </w:r>
      <w:r>
        <w:rPr>
          <w:rFonts w:cs="Arial"/>
          <w:color w:val="000000"/>
        </w:rPr>
        <w:t xml:space="preserve"> dodatno će se postići izgradnjom reciklažnog  dvorišta za građevni otpad i uspostavom odlagališta za gospodarenje građevnim otpadom. </w:t>
      </w:r>
    </w:p>
    <w:p>
      <w:pPr>
        <w:pStyle w:val="Normal"/>
        <w:spacing w:lineRule="auto" w:line="276"/>
        <w:rPr>
          <w:rFonts w:cs="Arial"/>
          <w:color w:val="000000"/>
        </w:rPr>
      </w:pPr>
      <w:r>
        <w:rPr>
          <w:rFonts w:cs="Arial"/>
          <w:color w:val="000000"/>
        </w:rPr>
        <w:t xml:space="preserve">Za zadovoljavanje budućih potreba vezano za gospodarenje </w:t>
      </w:r>
      <w:r>
        <w:rPr>
          <w:rFonts w:cs="Arial"/>
          <w:b/>
          <w:color w:val="000000"/>
        </w:rPr>
        <w:t>otpadom koji sadrži azbest</w:t>
      </w:r>
      <w:r>
        <w:rPr>
          <w:rFonts w:cs="Arial"/>
          <w:color w:val="000000"/>
        </w:rPr>
        <w:t xml:space="preserve"> potrebno je osigurati najmanje jednu lokaciju kazete za azbest na području JP(R)S. Također, JLS treba na svom području ustrojiti i voditi bazu podataka  s popisom zgrada i proizvodnih pogona na njezinom teritorijalnom području, koje sadrže azbest i to kao pokrov ili kao drugi građevni materijal, te izraditi Plan postupanja zamjene azbesta drugim građevnim materijalima za zgrade i proizvodne pogone koji sadrže azbest kao pokrov ili neki drugi građevni materijal, a koji mora sadržavati i podatke o procijenjenim količinama otpada koji sadrži azbest.</w:t>
      </w:r>
    </w:p>
    <w:p>
      <w:pPr>
        <w:pStyle w:val="Normal"/>
        <w:spacing w:lineRule="auto" w:line="276"/>
        <w:rPr/>
      </w:pPr>
      <w:r>
        <w:rPr>
          <w:rFonts w:cs="Arial"/>
          <w:color w:val="000000"/>
        </w:rPr>
        <w:t xml:space="preserve">Unaprjeđenje sustava gospodarenja </w:t>
      </w:r>
      <w:r>
        <w:rPr>
          <w:rFonts w:cs="Arial"/>
          <w:b/>
          <w:color w:val="000000"/>
        </w:rPr>
        <w:t>otpadnim tekstilom i obućom</w:t>
      </w:r>
      <w:r>
        <w:rPr>
          <w:rFonts w:cs="Arial"/>
          <w:color w:val="000000"/>
        </w:rPr>
        <w:t xml:space="preserve"> dodatno će se provesti izgradnjom </w:t>
      </w:r>
      <w:r>
        <w:rPr>
          <w:rFonts w:cs="Arial"/>
          <w:color w:val="000000"/>
        </w:rPr>
        <w:t xml:space="preserve">mobilnog </w:t>
      </w:r>
      <w:r>
        <w:rPr>
          <w:rFonts w:cs="Arial"/>
          <w:color w:val="000000"/>
        </w:rPr>
        <w:t>reciklažnog dvorišta i postavljanjem kontejnera za sakupljanje navedene kategorije otpada.</w:t>
      </w:r>
    </w:p>
    <w:p>
      <w:pPr>
        <w:pStyle w:val="Normal"/>
        <w:spacing w:lineRule="auto" w:line="276"/>
        <w:rPr/>
      </w:pPr>
      <w:r>
        <w:rPr>
          <w:rFonts w:cs="Arial"/>
          <w:color w:val="000000"/>
        </w:rPr>
        <w:t xml:space="preserve">Unaprjeđenje sustava gospodarenja </w:t>
      </w:r>
      <w:r>
        <w:rPr>
          <w:rFonts w:cs="Arial"/>
          <w:b/>
          <w:color w:val="000000"/>
        </w:rPr>
        <w:t>ambalažnim otpadom</w:t>
      </w:r>
      <w:r>
        <w:rPr>
          <w:rFonts w:cs="Arial"/>
          <w:color w:val="000000"/>
        </w:rPr>
        <w:t xml:space="preserve"> provesti će se informiranjem mještana o načinu zbrinjavanja navedene kategorije otpada. Informiranje mještana će se obaviti putem letaka, web stranice i organiziranjem radionica na temu gospodarenje pojedinim kategorijama otpada.</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1"/>
        <w:rPr/>
      </w:pPr>
      <w:bookmarkStart w:id="41" w:name="_Toc475347847"/>
      <w:bookmarkEnd w:id="41"/>
      <w:r>
        <w:rPr/>
        <w:t>8 MJERE PRIKUPLJANJA MIJEŠANOG KOMUNALNOG OTPADA I BIORAZGRADIVOG KOMUNALNOG OTPADA</w:t>
      </w:r>
    </w:p>
    <w:p>
      <w:pPr>
        <w:pStyle w:val="Normal"/>
        <w:rPr/>
      </w:pPr>
      <w:r>
        <w:rPr/>
      </w:r>
    </w:p>
    <w:p>
      <w:pPr>
        <w:pStyle w:val="Normal"/>
        <w:spacing w:lineRule="auto" w:line="276"/>
        <w:rPr/>
      </w:pPr>
      <w:r>
        <w:rPr>
          <w:rFonts w:cs="Arial"/>
          <w:color w:val="000000"/>
        </w:rPr>
        <w:t>U predstojećem planskom razdoblju treba dati naglasak na unaprjeđenju već postojećeg  sustava odvojenog sakupljanja</w:t>
      </w:r>
      <w:r>
        <w:rPr>
          <w:rFonts w:cs="Arial"/>
          <w:b/>
          <w:bCs/>
          <w:color w:val="000000"/>
        </w:rPr>
        <w:t xml:space="preserve"> miješanog </w:t>
      </w:r>
      <w:r>
        <w:rPr>
          <w:rFonts w:cs="Arial"/>
          <w:b/>
          <w:color w:val="000000"/>
        </w:rPr>
        <w:t xml:space="preserve">komunalnog otpada </w:t>
      </w:r>
      <w:r>
        <w:rPr>
          <w:rFonts w:cs="Arial"/>
          <w:color w:val="000000"/>
        </w:rPr>
        <w:t>iz kojeg je trenutno moguće izdvojiti papir, plastiku i staklo</w:t>
      </w:r>
      <w:r>
        <w:rPr>
          <w:rFonts w:cs="Arial"/>
          <w:b/>
          <w:color w:val="000000"/>
        </w:rPr>
        <w:t xml:space="preserve">. </w:t>
      </w:r>
      <w:r>
        <w:rPr>
          <w:rFonts w:cs="Arial"/>
          <w:color w:val="000000"/>
        </w:rPr>
        <w:t xml:space="preserve">Sustav je potrebno unaprijediti izdvajanjem </w:t>
      </w:r>
      <w:r>
        <w:rPr>
          <w:rFonts w:cs="Arial"/>
          <w:b/>
          <w:bCs/>
          <w:color w:val="000000"/>
        </w:rPr>
        <w:t>biorazgradivog komunalnog otpada</w:t>
      </w:r>
      <w:r>
        <w:rPr>
          <w:rFonts w:cs="Arial"/>
          <w:color w:val="000000"/>
        </w:rPr>
        <w:t xml:space="preserve"> iz miješanog komunalnog otpada. Unaprjeđenje sustava odvojenog sakupljanja komunalnog otpada provest će se poboljšanjem kvalitete primarne selekcije otpada putem spremnika (kompostera) na  „kućnom pragu“, povećanjem broja spremnika na javnoj površini (zeleni otoci) i njihovom odgovarajućom prostornom distribucijom. </w:t>
      </w:r>
    </w:p>
    <w:p>
      <w:pPr>
        <w:pStyle w:val="Normal"/>
        <w:spacing w:lineRule="auto" w:line="276"/>
        <w:rPr/>
      </w:pPr>
      <w:r>
        <w:rPr>
          <w:rFonts w:cs="Arial"/>
          <w:color w:val="000000"/>
        </w:rPr>
        <w:t xml:space="preserve">Unaprjeđenjem sustava izdvajanja biootpada iz miješanog komunalnog otpada, gdje postoji mogućnost odvojenog  sakupljanja </w:t>
      </w:r>
      <w:r>
        <w:rPr>
          <w:rFonts w:cs="Arial"/>
          <w:b/>
          <w:color w:val="000000"/>
        </w:rPr>
        <w:t xml:space="preserve">biorazgradivog otpada </w:t>
      </w:r>
      <w:r>
        <w:rPr>
          <w:rFonts w:cs="Arial"/>
          <w:color w:val="000000"/>
        </w:rPr>
        <w:t xml:space="preserve">na  „kućnom pragu“  i podjelom kompostera za biorazgradivi otpad, postići će se i unaprjeđenje sustava sakupljanja biorazgradivog otpada i ispuniti ciljevi za ovu kategoriju otpada.  </w:t>
      </w:r>
    </w:p>
    <w:p>
      <w:pPr>
        <w:pStyle w:val="Normal"/>
        <w:spacing w:lineRule="auto" w:line="276"/>
        <w:rPr>
          <w:rFonts w:cs="Arial"/>
          <w:color w:val="000000"/>
        </w:rPr>
      </w:pPr>
      <w:r>
        <w:rPr>
          <w:rFonts w:cs="Arial"/>
          <w:color w:val="000000"/>
        </w:rPr>
        <w:t xml:space="preserve">Dodatno, unaprjeđenje sustava obrade </w:t>
      </w:r>
      <w:r>
        <w:rPr>
          <w:rFonts w:cs="Arial"/>
          <w:b/>
          <w:color w:val="000000"/>
        </w:rPr>
        <w:t>biorazgradivog</w:t>
      </w:r>
      <w:r>
        <w:rPr>
          <w:rFonts w:cs="Arial"/>
          <w:color w:val="000000"/>
        </w:rPr>
        <w:t xml:space="preserve"> otpada provest će se nastavkom aktivnosti izgradnje građevina za biološku obradu otpada (postrojenja za kompostiranje) na odlagalištu otpada.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1"/>
        <w:rPr/>
      </w:pPr>
      <w:bookmarkStart w:id="42" w:name="_Toc475347848"/>
      <w:bookmarkEnd w:id="42"/>
      <w:r>
        <w:rPr/>
        <w:t>9 MJERE ODVOJENOG PRIKUPLJANJA OTPADNOG PAPIRA, METALA, STAKLA I PLASTIKE, TE KRUPNOG (GLOMAZNOG) KOMUNALNOG OTPADA</w:t>
      </w:r>
    </w:p>
    <w:p>
      <w:pPr>
        <w:pStyle w:val="Normal"/>
        <w:rPr/>
      </w:pPr>
      <w:r>
        <w:rPr/>
      </w:r>
    </w:p>
    <w:p>
      <w:pPr>
        <w:pStyle w:val="Normal"/>
        <w:spacing w:lineRule="auto" w:line="276"/>
        <w:rPr>
          <w:rFonts w:cs="Arial"/>
          <w:color w:val="000000"/>
        </w:rPr>
      </w:pPr>
      <w:r>
        <w:rPr>
          <w:rFonts w:cs="Arial"/>
          <w:color w:val="000000"/>
        </w:rPr>
        <w:t xml:space="preserve">Kako bi cijeli sustav prikupljanja otpadnog papira, metala, stakla i plastike u sustavu gospodarenja komunalnim otpadom funkcionirao, veliko značenje ima odvojeno prikupljanje na mjestu nastanka i njihova oporaba. Na taj način se izravno utječe na izbjegavanje i smanjenje količina komunalnog otpada. </w:t>
      </w:r>
    </w:p>
    <w:p>
      <w:pPr>
        <w:pStyle w:val="Normal"/>
        <w:spacing w:lineRule="auto" w:line="276" w:before="0" w:after="0"/>
        <w:rPr/>
      </w:pPr>
      <w:r>
        <w:rPr>
          <w:rFonts w:cs="Arial"/>
          <w:color w:val="000000"/>
        </w:rPr>
        <w:t xml:space="preserve">Mjere odvojenog prikupljanja otpadnog papira, metala, stakla i plastike na području Općine </w:t>
      </w:r>
      <w:r>
        <w:rPr>
          <w:rFonts w:cs="Arial"/>
          <w:color w:val="000000"/>
        </w:rPr>
        <w:t>Dragalić</w:t>
      </w:r>
      <w:r>
        <w:rPr>
          <w:rFonts w:cs="Arial"/>
          <w:color w:val="000000"/>
        </w:rPr>
        <w:t xml:space="preserve"> provest će se nadogradnjom elemenata za odvojeno prikupljanje navedenih vrsta otpada postavljanjem dodatnih posuda, uspostavom zelenih otoka i uspostavom </w:t>
      </w:r>
      <w:r>
        <w:rPr>
          <w:rFonts w:cs="Arial"/>
          <w:color w:val="000000"/>
        </w:rPr>
        <w:t xml:space="preserve">mobilnog </w:t>
      </w:r>
      <w:r>
        <w:rPr>
          <w:rFonts w:cs="Arial"/>
          <w:color w:val="000000"/>
        </w:rPr>
        <w:t>reciklažnog dvorišta.</w:t>
      </w:r>
    </w:p>
    <w:p>
      <w:pPr>
        <w:pStyle w:val="Normal"/>
        <w:spacing w:lineRule="auto" w:line="276" w:before="0" w:after="0"/>
        <w:rPr/>
      </w:pPr>
      <w:r>
        <w:rPr/>
      </w:r>
    </w:p>
    <w:p>
      <w:pPr>
        <w:pStyle w:val="Normal"/>
        <w:spacing w:lineRule="auto" w:line="276"/>
        <w:rPr/>
      </w:pPr>
      <w:r>
        <w:rPr>
          <w:rFonts w:cs="Arial"/>
        </w:rPr>
        <w:t>U 201</w:t>
      </w:r>
      <w:r>
        <w:rPr>
          <w:rFonts w:cs="Arial"/>
        </w:rPr>
        <w:t>6</w:t>
      </w:r>
      <w:r>
        <w:rPr>
          <w:rFonts w:cs="Arial"/>
        </w:rPr>
        <w:t>.</w:t>
      </w:r>
      <w:r>
        <w:rPr>
          <w:rFonts w:cs="Arial"/>
        </w:rPr>
        <w:t>god.</w:t>
      </w:r>
      <w:r>
        <w:rPr>
          <w:rFonts w:cs="Arial"/>
        </w:rPr>
        <w:t xml:space="preserve"> započela je implementacija sustava odvojenog sakupljanja korisnog otpada (papir, staklo, plastika) sukladno odredbama zakona. Do sada su obuhvaćena sva domaćinstva na području Općine.</w:t>
      </w:r>
    </w:p>
    <w:p>
      <w:pPr>
        <w:pStyle w:val="Normal"/>
        <w:spacing w:lineRule="auto" w:line="276"/>
        <w:rPr/>
      </w:pPr>
      <w:r>
        <w:rPr>
          <w:rFonts w:cs="Arial"/>
        </w:rPr>
        <w:t>Domaćinstva u Općini imaju mogućnost odvojenog prikupljanja papira, plastike i stakla na način da isti odvojeno odlože u kontejnere na zelenim otocima, koji se nalaze u svim naseljima.</w:t>
      </w:r>
    </w:p>
    <w:p>
      <w:pPr>
        <w:pStyle w:val="Normal"/>
        <w:spacing w:lineRule="auto" w:line="276"/>
        <w:rPr/>
      </w:pPr>
      <w:r>
        <w:rPr>
          <w:rFonts w:cs="Arial"/>
        </w:rPr>
        <w:t xml:space="preserve">U narednom planskom razdoblju potrebno je postaviti i kontejnere za metal </w:t>
      </w:r>
      <w:r>
        <w:rPr>
          <w:rFonts w:cs="Arial"/>
        </w:rPr>
        <w:t>i tekstil i obuću</w:t>
      </w:r>
      <w:r>
        <w:rPr>
          <w:rFonts w:cs="Arial"/>
        </w:rPr>
        <w:t xml:space="preserve">. </w:t>
      </w:r>
    </w:p>
    <w:p>
      <w:pPr>
        <w:pStyle w:val="Normal"/>
        <w:spacing w:lineRule="auto" w:line="276"/>
        <w:rPr/>
      </w:pPr>
      <w:r>
        <w:rPr>
          <w:rFonts w:cs="Arial"/>
        </w:rPr>
        <w:t xml:space="preserve">U Općini postoji 6 lokacija zelenih otoka na koje građani mogu dovesti odvojeno skupljeni korisni otpad (papir, staklo, plastika). </w:t>
      </w:r>
    </w:p>
    <w:p>
      <w:pPr>
        <w:pStyle w:val="Normal"/>
        <w:spacing w:lineRule="auto" w:line="276"/>
        <w:rPr/>
      </w:pPr>
      <w:r>
        <w:rPr>
          <w:rFonts w:cs="Arial"/>
        </w:rPr>
        <w:t>Sakupljeni korisni otpad iz domaćinstava, gospodarskih subjekata i sa zelenih otoka odvozi se prema planovima odvoza, jedanput tjedno. Korisni otpad odvozi se i predaje ovlaštenim sakupljačima.</w:t>
      </w:r>
    </w:p>
    <w:p>
      <w:pPr>
        <w:pStyle w:val="Normal"/>
        <w:spacing w:lineRule="auto" w:line="276" w:before="0" w:after="0"/>
        <w:rPr/>
      </w:pPr>
      <w:r>
        <w:rPr>
          <w:rFonts w:cs="Arial"/>
          <w:color w:val="000000"/>
        </w:rPr>
        <w:t xml:space="preserve">Krupni (glomazni) komunalni otpad je predmet ili </w:t>
      </w:r>
      <w:r>
        <w:rPr>
          <w:rFonts w:cs="Arial"/>
          <w:color w:val="000000"/>
        </w:rPr>
        <w:t>s</w:t>
      </w:r>
      <w:r>
        <w:rPr>
          <w:rFonts w:cs="Arial"/>
          <w:color w:val="000000"/>
        </w:rPr>
        <w:t xml:space="preserve">tvar koju je zbog zapremine i/ili mase neprikladno prikupljati u sklopu usluge prikupljanja miješanog komunalnog otpada. Odvojeno prikupljanje krupnog (glomaznog) komunalnog otpada na svom je području dužna organizirati jedinica lokalne samouprave. Popis vrsta predmeta i tvari koji se smatraju glomaznim komunalnim otpadom  propisan je naputkom. </w:t>
      </w:r>
    </w:p>
    <w:p>
      <w:pPr>
        <w:pStyle w:val="Normal"/>
        <w:spacing w:lineRule="auto" w:line="276"/>
        <w:rPr>
          <w:rFonts w:cs="Arial"/>
          <w:color w:val="000000"/>
        </w:rPr>
      </w:pPr>
      <w:r>
        <w:rPr>
          <w:rFonts w:cs="Arial"/>
          <w:color w:val="000000"/>
        </w:rPr>
        <w:t>Prijevoz glomaznog komunalnog otpada na zahtjev korisnika usluge dužan je osigurati davatelj usluge prikupljanja miješanog komunalnog otpada.</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1"/>
        <w:rPr/>
      </w:pPr>
      <w:bookmarkStart w:id="43" w:name="_Toc475347849"/>
      <w:bookmarkEnd w:id="43"/>
      <w:r>
        <w:rPr/>
        <w:t>10 POPIS PROJEKATA VAŽNIH ZA PROVEDBU ODREDBI PLANA</w:t>
      </w:r>
    </w:p>
    <w:p>
      <w:pPr>
        <w:pStyle w:val="Normal"/>
        <w:rPr/>
      </w:pPr>
      <w:r>
        <w:rPr/>
      </w:r>
    </w:p>
    <w:p>
      <w:pPr>
        <w:pStyle w:val="Normal"/>
        <w:spacing w:lineRule="auto" w:line="276"/>
        <w:rPr>
          <w:rFonts w:cs="Arial"/>
        </w:rPr>
      </w:pPr>
      <w:r>
        <w:rPr>
          <w:rFonts w:cs="Arial"/>
        </w:rPr>
        <w:t xml:space="preserve">Građevine za gospodarenje otpadom su građevine za sakupljanje otpada, građevine za obradu otpada i centar za gospodarenje otpadom. </w:t>
      </w:r>
    </w:p>
    <w:p>
      <w:pPr>
        <w:pStyle w:val="Normal"/>
        <w:spacing w:lineRule="auto" w:line="276"/>
        <w:rPr>
          <w:rFonts w:cs="Arial"/>
        </w:rPr>
      </w:pPr>
      <w:r>
        <w:rPr>
          <w:rFonts w:cs="Arial"/>
        </w:rPr>
        <w:t xml:space="preserve">Prema podacima HAOP-a, u 2016. godini na području Republike Hrvatske je ukupno 84 izgrađenih reciklažnih dvorišta i 46 mobilnih reciklažnih dvorišta. </w:t>
      </w:r>
    </w:p>
    <w:p>
      <w:pPr>
        <w:pStyle w:val="Normal"/>
        <w:spacing w:lineRule="auto" w:line="276"/>
        <w:rPr>
          <w:rFonts w:cs="Arial"/>
        </w:rPr>
      </w:pPr>
      <w:r>
        <w:rPr>
          <w:rFonts w:cs="Arial"/>
        </w:rPr>
        <w:t xml:space="preserve">Zakonom o održivom gospodarenju otpadom je Jedinicama lokalne samouprave propisana obveza osiguranja uspostave minimalnog broja reciklažnih dvorišta ili mobilnih jedinica ovisno o broju stanovnika JLS-a. </w:t>
      </w:r>
    </w:p>
    <w:p>
      <w:pPr>
        <w:pStyle w:val="Normal"/>
        <w:spacing w:lineRule="auto" w:line="276"/>
        <w:rPr>
          <w:rFonts w:cs="Arial"/>
        </w:rPr>
      </w:pPr>
      <w:r>
        <w:rPr>
          <w:rFonts w:cs="Arial"/>
        </w:rPr>
        <w:t>Provedbenim propisom određene su vrste otpada koje reciklažna dvorišta moraju zaprimati (problematični otpad, otpadni papir, metal, staklo, plastiku, tekstil, glomazni otpad, jestiva ulja i masti, deterdženti, boje, lijekovi, EE otpad, baterije i akumulatori i građevni otpad od manjih popravaka iz kućanstva).</w:t>
      </w:r>
    </w:p>
    <w:p>
      <w:pPr>
        <w:pStyle w:val="Normal"/>
        <w:spacing w:lineRule="auto" w:line="276"/>
        <w:rPr>
          <w:rFonts w:cs="Arial"/>
        </w:rPr>
      </w:pPr>
      <w:r>
        <w:rPr>
          <w:rFonts w:cs="Arial"/>
        </w:rPr>
      </w:r>
    </w:p>
    <w:p>
      <w:pPr>
        <w:pStyle w:val="Heading2"/>
        <w:rPr/>
      </w:pPr>
      <w:bookmarkStart w:id="44" w:name="_Toc475347850"/>
      <w:bookmarkEnd w:id="44"/>
      <w:r>
        <w:rPr/>
        <w:t xml:space="preserve">10.1 Reciklažna dvorišta / </w:t>
      </w:r>
      <w:r>
        <w:rPr/>
        <w:t>mobilna reciklažna dvorišta</w:t>
      </w:r>
    </w:p>
    <w:p>
      <w:pPr>
        <w:pStyle w:val="Normal"/>
        <w:rPr/>
      </w:pPr>
      <w:r>
        <w:rPr/>
      </w:r>
    </w:p>
    <w:p>
      <w:pPr>
        <w:pStyle w:val="Normal"/>
        <w:spacing w:lineRule="auto" w:line="276"/>
        <w:rPr/>
      </w:pPr>
      <w:r>
        <w:rPr>
          <w:rFonts w:cs="Arial"/>
        </w:rPr>
        <w:t xml:space="preserve">Prema čl. 35. Zakona o održivom gospodarenju otpadom, jedinica lokalne samouprave </w:t>
      </w:r>
      <w:r>
        <w:rPr>
          <w:rFonts w:cs="Arial"/>
          <w:color w:val="000000"/>
        </w:rPr>
        <w:t xml:space="preserve">koja ima više od 1.500 stanovnika dužna je osigurati funkcioniranje najmanje jednog reciklažnog dvorišta i još po jedno na svakih idućih 25.000 stanovnika na svojem području. Prema tome, </w:t>
      </w:r>
      <w:r>
        <w:rPr>
          <w:rFonts w:cs="Arial"/>
        </w:rPr>
        <w:t xml:space="preserve"> Općin</w:t>
      </w:r>
      <w:r>
        <w:rPr>
          <w:rFonts w:cs="Arial"/>
        </w:rPr>
        <w:t>a</w:t>
      </w:r>
      <w:r>
        <w:rPr>
          <w:rFonts w:cs="Arial"/>
        </w:rPr>
        <w:t xml:space="preserve"> </w:t>
      </w:r>
      <w:r>
        <w:rPr>
          <w:rFonts w:cs="Arial"/>
        </w:rPr>
        <w:t>Dragalić</w:t>
      </w:r>
      <w:r>
        <w:rPr>
          <w:rFonts w:cs="Arial"/>
        </w:rPr>
        <w:t xml:space="preserve"> </w:t>
      </w:r>
      <w:r>
        <w:rPr>
          <w:rFonts w:cs="Arial"/>
        </w:rPr>
        <w:t>nije u obvezi izgraditi</w:t>
      </w:r>
      <w:r>
        <w:rPr>
          <w:rFonts w:cs="Arial"/>
        </w:rPr>
        <w:t xml:space="preserve"> reciklažno dvorište, </w:t>
      </w:r>
      <w:r>
        <w:rPr>
          <w:rFonts w:cs="Arial"/>
        </w:rPr>
        <w:t>ali je u obvezi osigurati izgradnju mobilnog reciklažnog dvorišta</w:t>
      </w:r>
      <w:r>
        <w:rPr>
          <w:rFonts w:cs="Arial"/>
          <w:b/>
        </w:rPr>
        <w:t>.</w:t>
      </w:r>
    </w:p>
    <w:p>
      <w:pPr>
        <w:pStyle w:val="Normal"/>
        <w:spacing w:lineRule="auto" w:line="276"/>
        <w:rPr/>
      </w:pPr>
      <w:r>
        <w:rPr>
          <w:rFonts w:cs="Arial"/>
        </w:rPr>
        <w:t xml:space="preserve">Izrada projektne dokumentacije financira se od strane FZOEU 100%, a izgradnja i opremanje </w:t>
      </w:r>
      <w:r>
        <w:rPr>
          <w:rFonts w:cs="Arial"/>
        </w:rPr>
        <w:t xml:space="preserve">mobilnih </w:t>
      </w:r>
      <w:r>
        <w:rPr>
          <w:rFonts w:cs="Arial"/>
        </w:rPr>
        <w:t xml:space="preserve">reciklažnih dvorišta sa 40-80% FZOEU i 20-60% iz proračuna jedinica lokalne samouprave.  </w:t>
      </w:r>
    </w:p>
    <w:p>
      <w:pPr>
        <w:pStyle w:val="Normal"/>
        <w:spacing w:lineRule="auto" w:line="276"/>
        <w:rPr/>
      </w:pPr>
      <w:r>
        <w:rPr>
          <w:rFonts w:cs="Arial"/>
        </w:rPr>
        <w:t xml:space="preserve">Izgradnja i opremanje </w:t>
      </w:r>
      <w:r>
        <w:rPr>
          <w:rFonts w:cs="Arial"/>
        </w:rPr>
        <w:t xml:space="preserve">mobilnog </w:t>
      </w:r>
      <w:r>
        <w:rPr>
          <w:rFonts w:cs="Arial"/>
        </w:rPr>
        <w:t xml:space="preserve">reciklažnog dvorišta za Općinu </w:t>
      </w:r>
      <w:r>
        <w:rPr>
          <w:rFonts w:cs="Arial"/>
        </w:rPr>
        <w:t>Dragalić</w:t>
      </w:r>
      <w:r>
        <w:rPr>
          <w:rFonts w:cs="Arial"/>
        </w:rPr>
        <w:t>, te puštanje u rad, planira se u roku 2 godine.</w:t>
      </w:r>
    </w:p>
    <w:p>
      <w:pPr>
        <w:pStyle w:val="Normal"/>
        <w:rPr/>
      </w:pPr>
      <w:r>
        <w:rPr/>
      </w:r>
    </w:p>
    <w:p>
      <w:pPr>
        <w:pStyle w:val="Normal"/>
        <w:spacing w:lineRule="auto" w:line="276"/>
        <w:rPr/>
      </w:pPr>
      <w:r>
        <w:rPr/>
      </w:r>
    </w:p>
    <w:p>
      <w:pPr>
        <w:pStyle w:val="Heading2"/>
        <w:rPr/>
      </w:pPr>
      <w:bookmarkStart w:id="45" w:name="_Toc475347851"/>
      <w:bookmarkEnd w:id="45"/>
      <w:r>
        <w:rPr/>
        <w:t>10.2 Zeleni otoci</w:t>
      </w:r>
    </w:p>
    <w:p>
      <w:pPr>
        <w:pStyle w:val="Normal"/>
        <w:rPr/>
      </w:pPr>
      <w:r>
        <w:rPr/>
      </w:r>
    </w:p>
    <w:p>
      <w:pPr>
        <w:pStyle w:val="Normal"/>
        <w:spacing w:lineRule="auto" w:line="276"/>
        <w:rPr/>
      </w:pPr>
      <w:r>
        <w:rPr>
          <w:rFonts w:cs="Arial"/>
        </w:rPr>
        <w:t xml:space="preserve">Na području Općine </w:t>
      </w:r>
      <w:r>
        <w:rPr>
          <w:rFonts w:cs="Arial"/>
        </w:rPr>
        <w:t>Dragalić</w:t>
      </w:r>
      <w:r>
        <w:rPr>
          <w:rFonts w:cs="Arial"/>
        </w:rPr>
        <w:t xml:space="preserve"> trenutno postoji </w:t>
      </w:r>
      <w:r>
        <w:rPr>
          <w:rFonts w:cs="Arial"/>
        </w:rPr>
        <w:t>12</w:t>
      </w:r>
      <w:r>
        <w:rPr>
          <w:rFonts w:cs="Arial"/>
          <w:color w:val="FF0000"/>
        </w:rPr>
        <w:t xml:space="preserve"> </w:t>
      </w:r>
      <w:r>
        <w:rPr>
          <w:rFonts w:cs="Arial"/>
        </w:rPr>
        <w:t>zelenih</w:t>
      </w:r>
      <w:r>
        <w:rPr>
          <w:rFonts w:cs="Arial"/>
          <w:color w:val="FF0000"/>
        </w:rPr>
        <w:t xml:space="preserve"> </w:t>
      </w:r>
      <w:r>
        <w:rPr>
          <w:rFonts w:cs="Arial"/>
        </w:rPr>
        <w:t xml:space="preserve">otoka na kojima se odvojeno sakuplja otpadni papir, staklo i plastika. </w:t>
      </w:r>
      <w:r>
        <w:rPr>
          <w:rFonts w:cs="Arial"/>
        </w:rPr>
        <w:t>Predviđeno je da se na postojeće zelene otoke dodaju kontejneri za tekstil i obuču.</w:t>
      </w:r>
    </w:p>
    <w:p>
      <w:pPr>
        <w:pStyle w:val="Heading2"/>
        <w:rPr/>
      </w:pPr>
      <w:bookmarkStart w:id="46" w:name="_Toc475347852"/>
      <w:bookmarkEnd w:id="46"/>
      <w:r>
        <w:rPr/>
        <w:t>10.3 Ostali objekti</w:t>
      </w:r>
    </w:p>
    <w:p>
      <w:pPr>
        <w:pStyle w:val="Normal"/>
        <w:rPr/>
      </w:pPr>
      <w:r>
        <w:rPr/>
      </w:r>
    </w:p>
    <w:p>
      <w:pPr>
        <w:pStyle w:val="Normal"/>
        <w:spacing w:lineRule="auto" w:line="276"/>
        <w:rPr/>
      </w:pPr>
      <w:r>
        <w:rPr>
          <w:rFonts w:cs="Arial"/>
        </w:rPr>
        <w:t>Općina nije planirala izgradnju Centra za gospodarenje otpadom, kompostane, pretovarne stanice i sortirnice.</w:t>
      </w:r>
    </w:p>
    <w:p>
      <w:pPr>
        <w:pStyle w:val="Heading1"/>
        <w:rPr/>
      </w:pPr>
      <w:bookmarkStart w:id="47" w:name="_Toc475347853"/>
      <w:bookmarkEnd w:id="47"/>
      <w:r>
        <w:rPr/>
        <w:t>11 ORGANIZACIJSKI ASPEKTI, IZVORI I VISINA FINANCIJSKIH SREDSTAVA ZA PROVEDBU MJERA GOSPODARENJA OTPADOM</w:t>
      </w:r>
    </w:p>
    <w:p>
      <w:pPr>
        <w:pStyle w:val="Normal"/>
        <w:rPr/>
      </w:pPr>
      <w:r>
        <w:rPr/>
      </w:r>
    </w:p>
    <w:p>
      <w:pPr>
        <w:pStyle w:val="Normal"/>
        <w:spacing w:lineRule="auto" w:line="276" w:before="0" w:after="0"/>
        <w:rPr/>
      </w:pPr>
      <w:r>
        <w:rPr/>
        <w:t>Gospodarenje otpadom je od interesa za Republiku Hrvatsku. Gospodarenje otpadom osiguravaju Vlada Republike Hrvatske i Ministarstvo zaštite okoliša i energetike propisivanjem mjera gospodarenja otpadom.</w:t>
      </w:r>
    </w:p>
    <w:p>
      <w:pPr>
        <w:pStyle w:val="Normal"/>
        <w:spacing w:lineRule="auto" w:line="276" w:before="0" w:after="0"/>
        <w:rPr/>
      </w:pPr>
      <w:r>
        <w:rPr/>
      </w:r>
    </w:p>
    <w:p>
      <w:pPr>
        <w:pStyle w:val="Normal"/>
        <w:spacing w:lineRule="auto" w:line="276" w:before="0" w:after="0"/>
        <w:rPr>
          <w:rFonts w:cs="Arial"/>
        </w:rPr>
      </w:pPr>
      <w:r>
        <w:rPr>
          <w:rFonts w:cs="Arial"/>
        </w:rPr>
        <w:t xml:space="preserve">Provedbena tijela na državnoj razini su Hrvatska agencija za okoliš i prirodu i Fond za zaštitu okoliša i energetsku učinkovitost. JLS i JP(R)S dužna je na svom području osigurati uvjete i provedbu propisanih mjera gospodarenja otpadom. </w:t>
      </w:r>
    </w:p>
    <w:p>
      <w:pPr>
        <w:pStyle w:val="Normal"/>
        <w:spacing w:lineRule="auto" w:line="276" w:before="0" w:after="0"/>
        <w:rPr>
          <w:rFonts w:cs="Arial"/>
        </w:rPr>
      </w:pPr>
      <w:r>
        <w:rPr>
          <w:rFonts w:cs="Arial"/>
        </w:rPr>
      </w:r>
    </w:p>
    <w:p>
      <w:pPr>
        <w:pStyle w:val="Normal"/>
        <w:spacing w:lineRule="auto" w:line="276" w:before="0" w:after="0"/>
        <w:rPr>
          <w:rFonts w:cs="Arial"/>
        </w:rPr>
      </w:pPr>
      <w:r>
        <w:rPr>
          <w:rFonts w:cs="Arial"/>
        </w:rPr>
      </w:r>
    </w:p>
    <w:p>
      <w:pPr>
        <w:pStyle w:val="Normal"/>
        <w:spacing w:before="0" w:after="0"/>
        <w:rPr>
          <w:b/>
          <w:b/>
          <w:bCs/>
        </w:rPr>
      </w:pPr>
      <w:r>
        <w:rPr>
          <w:b/>
          <w:bCs/>
        </w:rPr>
        <w:t>Jedinice područne (regionalne) samouprave - JP(R)S</w:t>
      </w:r>
    </w:p>
    <w:p>
      <w:pPr>
        <w:pStyle w:val="Normal"/>
        <w:spacing w:before="0" w:after="0"/>
        <w:rPr>
          <w:b/>
          <w:b/>
          <w:bCs/>
        </w:rPr>
      </w:pPr>
      <w:r>
        <w:rPr>
          <w:b/>
          <w:bCs/>
        </w:rPr>
      </w:r>
    </w:p>
    <w:p>
      <w:pPr>
        <w:pStyle w:val="Normal"/>
        <w:spacing w:lineRule="auto" w:line="276" w:before="0" w:after="0"/>
        <w:rPr/>
      </w:pPr>
      <w:r>
        <w:rPr/>
        <w:t>JP(R)S nadležne su za planiranje lokacija odlagališnih ploha za zbrinjavanje azbestnog otpada i lokacija odlagališta otpada, a zajedno s jedinicama lokalne samouprave, putem pravnih osoba koje uspostavljaju i upravljaju centrima za gospodarenje otpadom (temeljem vlasničkih obveza) osiguravaju kapacitete za obradu miješanog komunalnog otpada i otpada koji preostaje nakon obrade miješanog komunalnog otpada, izdavanje dozvola za gospodarenje otpadom za koje nije nadležno MZOE, provjeru usklađenosti plana gospodarenja otpadom proizvođača otpada, te provjeru usklađenosti (i izdavanje prethodne suglasnosti) planova gospodarenja otpadom jedinica lokalne samouprave s Planom gospodarenja Republike Hrvatske.</w:t>
      </w:r>
    </w:p>
    <w:p>
      <w:pPr>
        <w:pStyle w:val="Normal"/>
        <w:spacing w:lineRule="auto" w:line="276" w:before="0" w:after="0"/>
        <w:rPr/>
      </w:pPr>
      <w:r>
        <w:rPr/>
      </w:r>
    </w:p>
    <w:p>
      <w:pPr>
        <w:pStyle w:val="Normal"/>
        <w:spacing w:lineRule="auto" w:line="276" w:before="0" w:after="0"/>
        <w:rPr/>
      </w:pPr>
      <w:r>
        <w:rPr/>
      </w:r>
    </w:p>
    <w:p>
      <w:pPr>
        <w:pStyle w:val="Normal"/>
        <w:spacing w:lineRule="auto" w:line="360" w:before="0" w:after="0"/>
        <w:rPr/>
      </w:pPr>
      <w:r>
        <w:rPr>
          <w:b/>
          <w:bCs/>
        </w:rPr>
        <w:t>Jedinice lokalne samouprave - JLS</w:t>
      </w:r>
    </w:p>
    <w:p>
      <w:pPr>
        <w:pStyle w:val="Normal"/>
        <w:spacing w:lineRule="auto" w:line="276" w:before="0" w:after="0"/>
        <w:rPr/>
      </w:pPr>
      <w:r>
        <w:rPr/>
      </w:r>
    </w:p>
    <w:p>
      <w:pPr>
        <w:pStyle w:val="Normal"/>
        <w:spacing w:lineRule="auto" w:line="276" w:before="0" w:after="0"/>
        <w:rPr/>
      </w:pPr>
      <w:r>
        <w:rPr/>
        <w:t>JLS nadležne su za osiguravanje javne usluge prikupljanja komunalnog otpada, uspostavu reciklažnih dvorišta te provedbu mjera sprječavanja odbacivanja otpada u okoliš kao i uklanjanje u okoliš odbačenog otpada, davanje suglasnosti za akciju prikupljanja otpada, planiranje lokacija građevina od lokalnog značaja, provedbu izobrazno-informativnih aktivnosti te provedbu obveza propisanih ovim Planom, te ostalo sukladno ZOGO-u.</w:t>
      </w:r>
    </w:p>
    <w:p>
      <w:pPr>
        <w:pStyle w:val="Normal"/>
        <w:spacing w:lineRule="auto" w:line="276" w:before="0" w:after="0"/>
        <w:rPr/>
      </w:pPr>
      <w:r>
        <w:rPr>
          <w:rFonts w:cs="Arial"/>
        </w:rPr>
        <w:t>Također, jedinice lokalne samouprave dužne su, sukladno ZOGO-u provoditi ovaj Plan.</w:t>
      </w:r>
    </w:p>
    <w:p>
      <w:pPr>
        <w:pStyle w:val="Normal"/>
        <w:spacing w:lineRule="auto" w:line="276" w:before="0" w:after="0"/>
        <w:rPr>
          <w:rFonts w:cs="Arial"/>
        </w:rPr>
      </w:pPr>
      <w:r>
        <w:rPr>
          <w:rFonts w:cs="Arial"/>
        </w:rPr>
      </w:r>
    </w:p>
    <w:p>
      <w:pPr>
        <w:pStyle w:val="Normal"/>
        <w:spacing w:lineRule="auto" w:line="276"/>
        <w:rPr/>
      </w:pPr>
      <w:r>
        <w:rPr>
          <w:rFonts w:cs="Arial"/>
        </w:rPr>
        <w:t>Upravni odjel za komunalne djelatnosti obavlja poslove:</w:t>
      </w:r>
    </w:p>
    <w:p>
      <w:pPr>
        <w:pStyle w:val="Normal"/>
        <w:spacing w:lineRule="auto" w:line="276"/>
        <w:rPr/>
      </w:pPr>
      <w:r>
        <w:rPr>
          <w:rFonts w:cs="Arial"/>
        </w:rPr>
        <w:t>- primanje obavijesti o nepravilnom odlaganju otpada u okoliš,</w:t>
      </w:r>
    </w:p>
    <w:p>
      <w:pPr>
        <w:pStyle w:val="Normal"/>
        <w:spacing w:lineRule="auto" w:line="276"/>
        <w:rPr/>
      </w:pPr>
      <w:r>
        <w:rPr>
          <w:rFonts w:cs="Arial"/>
        </w:rPr>
        <w:t>- sanaciju nepravilno odloženog otpada,</w:t>
      </w:r>
    </w:p>
    <w:p>
      <w:pPr>
        <w:pStyle w:val="Normal"/>
        <w:spacing w:lineRule="auto" w:line="276"/>
        <w:rPr>
          <w:rFonts w:cs="Arial"/>
        </w:rPr>
      </w:pPr>
      <w:r>
        <w:rPr>
          <w:rFonts w:cs="Arial"/>
        </w:rPr>
        <w:t>- komunikaciju sa nadležnim upravnim odjelom županije,</w:t>
      </w:r>
    </w:p>
    <w:p>
      <w:pPr>
        <w:pStyle w:val="Normal"/>
        <w:spacing w:lineRule="auto" w:line="276" w:beforeAutospacing="1" w:afterAutospacing="1"/>
        <w:rPr>
          <w:rFonts w:eastAsia="Times New Roman" w:cs="Arial"/>
          <w:lang w:eastAsia="hr-HR"/>
        </w:rPr>
      </w:pPr>
      <w:r>
        <w:rPr>
          <w:rFonts w:eastAsia="Times New Roman" w:cs="Arial"/>
          <w:lang w:eastAsia="hr-HR"/>
        </w:rPr>
        <w:t>- utvrđivanje i naplatu komunalnih i sličnih obveza koji obuhvaća upravne i druge poslove utvrđivanja tih obveza, te njihovu naplatu.</w:t>
      </w:r>
    </w:p>
    <w:p>
      <w:pPr>
        <w:pStyle w:val="Normal"/>
        <w:spacing w:lineRule="auto" w:line="276" w:beforeAutospacing="1" w:afterAutospacing="1"/>
        <w:rPr>
          <w:rFonts w:eastAsia="Times New Roman" w:cs="Arial"/>
          <w:lang w:eastAsia="hr-HR"/>
        </w:rPr>
      </w:pPr>
      <w:r>
        <w:rPr>
          <w:rFonts w:eastAsia="Times New Roman" w:cs="Arial"/>
          <w:lang w:eastAsia="hr-HR"/>
        </w:rPr>
      </w:r>
    </w:p>
    <w:p>
      <w:pPr>
        <w:pStyle w:val="Normal"/>
        <w:spacing w:lineRule="auto" w:line="276" w:beforeAutospacing="1" w:afterAutospacing="1"/>
        <w:rPr>
          <w:rFonts w:eastAsia="Times New Roman" w:cs="Arial"/>
          <w:lang w:eastAsia="hr-HR"/>
        </w:rPr>
      </w:pPr>
      <w:r>
        <w:rPr>
          <w:rFonts w:eastAsia="Times New Roman" w:cs="Arial"/>
          <w:lang w:eastAsia="hr-HR"/>
        </w:rPr>
      </w:r>
    </w:p>
    <w:p>
      <w:pPr>
        <w:pStyle w:val="Normal"/>
        <w:spacing w:lineRule="auto" w:line="276" w:beforeAutospacing="1" w:afterAutospacing="1"/>
        <w:jc w:val="center"/>
        <w:rPr>
          <w:rFonts w:eastAsia="Times New Roman" w:cs="Arial"/>
          <w:i/>
          <w:i/>
          <w:lang w:eastAsia="hr-HR"/>
        </w:rPr>
      </w:pPr>
      <w:r>
        <w:rPr>
          <w:rFonts w:eastAsia="Times New Roman" w:cs="Arial"/>
          <w:i/>
          <w:lang w:eastAsia="hr-HR"/>
        </w:rPr>
        <w:t>Tablica 11.1 Financijska sredstva za provedbu mjera gospodarenja otpadom</w:t>
      </w:r>
    </w:p>
    <w:tbl>
      <w:tblPr>
        <w:tblStyle w:val="TableGrid"/>
        <w:tblW w:w="9288" w:type="dxa"/>
        <w:jc w:val="left"/>
        <w:tblInd w:w="-20" w:type="dxa"/>
        <w:tblCellMar>
          <w:top w:w="0" w:type="dxa"/>
          <w:left w:w="88" w:type="dxa"/>
          <w:bottom w:w="0" w:type="dxa"/>
          <w:right w:w="108" w:type="dxa"/>
        </w:tblCellMar>
        <w:tblLook w:firstRow="1" w:noVBand="1" w:lastRow="0" w:firstColumn="1" w:lastColumn="0" w:noHBand="0" w:val="04a0"/>
      </w:tblPr>
      <w:tblGrid>
        <w:gridCol w:w="1239"/>
        <w:gridCol w:w="5387"/>
        <w:gridCol w:w="2662"/>
      </w:tblGrid>
      <w:tr>
        <w:trPr/>
        <w:tc>
          <w:tcPr>
            <w:tcW w:w="1239" w:type="dxa"/>
            <w:tcBorders/>
            <w:shd w:color="auto" w:fill="auto" w:val="pct15"/>
            <w:tcMar>
              <w:left w:w="88" w:type="dxa"/>
            </w:tcMar>
            <w:vAlign w:val="center"/>
          </w:tcPr>
          <w:p>
            <w:pPr>
              <w:pStyle w:val="Normal"/>
              <w:spacing w:lineRule="auto" w:line="240" w:before="0" w:after="0"/>
              <w:jc w:val="center"/>
              <w:rPr>
                <w:rFonts w:cs="Arial"/>
                <w:b/>
                <w:b/>
              </w:rPr>
            </w:pPr>
            <w:r>
              <w:rPr>
                <w:rFonts w:cs="Arial"/>
                <w:b/>
              </w:rPr>
            </w:r>
          </w:p>
          <w:p>
            <w:pPr>
              <w:pStyle w:val="Normal"/>
              <w:spacing w:lineRule="auto" w:line="240" w:before="0" w:after="0"/>
              <w:jc w:val="center"/>
              <w:rPr>
                <w:rFonts w:cs="Arial"/>
                <w:b/>
                <w:b/>
              </w:rPr>
            </w:pPr>
            <w:r>
              <w:rPr>
                <w:rFonts w:cs="Arial"/>
                <w:b/>
              </w:rPr>
              <w:t>Poz.</w:t>
            </w:r>
          </w:p>
          <w:p>
            <w:pPr>
              <w:pStyle w:val="Normal"/>
              <w:spacing w:lineRule="auto" w:line="240" w:before="0" w:after="0"/>
              <w:jc w:val="center"/>
              <w:rPr>
                <w:rFonts w:cs="Arial"/>
                <w:b/>
                <w:b/>
              </w:rPr>
            </w:pPr>
            <w:r>
              <w:rPr>
                <w:rFonts w:cs="Arial"/>
                <w:b/>
              </w:rPr>
            </w:r>
          </w:p>
        </w:tc>
        <w:tc>
          <w:tcPr>
            <w:tcW w:w="5387" w:type="dxa"/>
            <w:tcBorders/>
            <w:shd w:color="auto" w:fill="auto" w:val="pct15"/>
            <w:tcMar>
              <w:left w:w="88" w:type="dxa"/>
            </w:tcMar>
            <w:vAlign w:val="center"/>
          </w:tcPr>
          <w:p>
            <w:pPr>
              <w:pStyle w:val="Normal"/>
              <w:spacing w:lineRule="auto" w:line="240" w:before="0" w:after="0"/>
              <w:jc w:val="center"/>
              <w:rPr>
                <w:rFonts w:cs="Arial"/>
                <w:b/>
                <w:b/>
              </w:rPr>
            </w:pPr>
            <w:r>
              <w:rPr>
                <w:rFonts w:cs="Arial"/>
                <w:b/>
              </w:rPr>
              <w:t>Naziv</w:t>
            </w:r>
          </w:p>
        </w:tc>
        <w:tc>
          <w:tcPr>
            <w:tcW w:w="2662" w:type="dxa"/>
            <w:tcBorders/>
            <w:shd w:color="auto" w:fill="auto" w:val="pct15"/>
            <w:tcMar>
              <w:left w:w="88" w:type="dxa"/>
            </w:tcMar>
            <w:vAlign w:val="center"/>
          </w:tcPr>
          <w:p>
            <w:pPr>
              <w:pStyle w:val="Normal"/>
              <w:spacing w:lineRule="auto" w:line="240" w:before="0" w:after="0"/>
              <w:jc w:val="center"/>
              <w:rPr>
                <w:rFonts w:cs="Arial"/>
                <w:b/>
                <w:b/>
              </w:rPr>
            </w:pPr>
            <w:r>
              <w:rPr>
                <w:rFonts w:cs="Arial"/>
                <w:b/>
              </w:rPr>
              <w:t>Planirano /kn/</w:t>
            </w:r>
          </w:p>
        </w:tc>
      </w:tr>
      <w:tr>
        <w:trPr/>
        <w:tc>
          <w:tcPr>
            <w:tcW w:w="1239"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rFonts w:cs="Arial"/>
              </w:rPr>
            </w:pPr>
            <w:r>
              <w:rPr>
                <w:rFonts w:cs="Arial"/>
              </w:rPr>
              <w:t>1.</w:t>
            </w:r>
          </w:p>
          <w:p>
            <w:pPr>
              <w:pStyle w:val="Normal"/>
              <w:spacing w:lineRule="auto" w:line="240" w:before="0" w:after="0"/>
              <w:jc w:val="center"/>
              <w:rPr>
                <w:rFonts w:cs="Arial"/>
              </w:rPr>
            </w:pPr>
            <w:r>
              <w:rPr>
                <w:rFonts w:cs="Arial"/>
              </w:rPr>
            </w:r>
          </w:p>
        </w:tc>
        <w:tc>
          <w:tcPr>
            <w:tcW w:w="5387" w:type="dxa"/>
            <w:tcBorders/>
            <w:shd w:fill="auto" w:val="clear"/>
            <w:tcMar>
              <w:left w:w="88" w:type="dxa"/>
            </w:tcMar>
            <w:vAlign w:val="center"/>
          </w:tcPr>
          <w:p>
            <w:pPr>
              <w:pStyle w:val="Normal"/>
              <w:spacing w:lineRule="auto" w:line="240" w:before="0" w:after="0"/>
              <w:jc w:val="center"/>
              <w:rPr>
                <w:rFonts w:cs="Arial"/>
              </w:rPr>
            </w:pPr>
            <w:r>
              <w:rPr>
                <w:rFonts w:cs="Arial"/>
              </w:rPr>
              <w:t xml:space="preserve">Projektna dokumentacija za izgradnju </w:t>
            </w:r>
            <w:r>
              <w:rPr>
                <w:rFonts w:cs="Arial"/>
              </w:rPr>
              <w:t xml:space="preserve">mobilnog </w:t>
            </w:r>
            <w:r>
              <w:rPr>
                <w:rFonts w:cs="Arial"/>
              </w:rPr>
              <w:t>reciklažnog dvorišta</w:t>
            </w:r>
          </w:p>
        </w:tc>
        <w:tc>
          <w:tcPr>
            <w:tcW w:w="2662" w:type="dxa"/>
            <w:tcBorders/>
            <w:shd w:fill="auto" w:val="clear"/>
            <w:tcMar>
              <w:left w:w="88" w:type="dxa"/>
            </w:tcMar>
            <w:vAlign w:val="center"/>
          </w:tcPr>
          <w:p>
            <w:pPr>
              <w:pStyle w:val="Normal"/>
              <w:spacing w:lineRule="auto" w:line="240" w:before="0" w:after="0"/>
              <w:jc w:val="center"/>
              <w:rPr/>
            </w:pPr>
            <w:r>
              <w:rPr>
                <w:rFonts w:cs="Arial"/>
              </w:rPr>
              <w:t>4</w:t>
            </w:r>
            <w:r>
              <w:rPr>
                <w:rFonts w:cs="Arial"/>
              </w:rPr>
              <w:t>0.000,00</w:t>
            </w:r>
          </w:p>
        </w:tc>
      </w:tr>
      <w:tr>
        <w:trPr/>
        <w:tc>
          <w:tcPr>
            <w:tcW w:w="1239"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rFonts w:cs="Arial"/>
              </w:rPr>
            </w:pPr>
            <w:r>
              <w:rPr>
                <w:rFonts w:cs="Arial"/>
              </w:rPr>
              <w:t>2.</w:t>
            </w:r>
          </w:p>
          <w:p>
            <w:pPr>
              <w:pStyle w:val="Normal"/>
              <w:spacing w:lineRule="auto" w:line="240" w:before="0" w:after="0"/>
              <w:jc w:val="center"/>
              <w:rPr>
                <w:rFonts w:cs="Arial"/>
              </w:rPr>
            </w:pPr>
            <w:r>
              <w:rPr>
                <w:rFonts w:cs="Arial"/>
              </w:rPr>
            </w:r>
          </w:p>
        </w:tc>
        <w:tc>
          <w:tcPr>
            <w:tcW w:w="5387" w:type="dxa"/>
            <w:tcBorders/>
            <w:shd w:fill="auto" w:val="clear"/>
            <w:tcMar>
              <w:left w:w="88" w:type="dxa"/>
            </w:tcMar>
            <w:vAlign w:val="center"/>
          </w:tcPr>
          <w:p>
            <w:pPr>
              <w:pStyle w:val="Normal"/>
              <w:spacing w:lineRule="auto" w:line="240" w:before="0" w:after="0"/>
              <w:jc w:val="center"/>
              <w:rPr>
                <w:rFonts w:cs="Arial"/>
              </w:rPr>
            </w:pPr>
            <w:r>
              <w:rPr>
                <w:rFonts w:cs="Arial"/>
              </w:rPr>
              <w:t xml:space="preserve">Izgradnja </w:t>
            </w:r>
            <w:r>
              <w:rPr>
                <w:rFonts w:cs="Arial"/>
              </w:rPr>
              <w:t xml:space="preserve">mobilnog </w:t>
            </w:r>
            <w:r>
              <w:rPr>
                <w:rFonts w:cs="Arial"/>
              </w:rPr>
              <w:t>reciklažnog dvorišta</w:t>
            </w:r>
          </w:p>
        </w:tc>
        <w:tc>
          <w:tcPr>
            <w:tcW w:w="2662" w:type="dxa"/>
            <w:tcBorders/>
            <w:shd w:fill="auto" w:val="clear"/>
            <w:tcMar>
              <w:left w:w="88" w:type="dxa"/>
            </w:tcMar>
            <w:vAlign w:val="center"/>
          </w:tcPr>
          <w:p>
            <w:pPr>
              <w:pStyle w:val="Normal"/>
              <w:spacing w:lineRule="auto" w:line="240" w:before="0" w:after="0"/>
              <w:jc w:val="center"/>
              <w:rPr/>
            </w:pPr>
            <w:r>
              <w:rPr>
                <w:rFonts w:cs="Arial"/>
              </w:rPr>
              <w:t>5</w:t>
            </w:r>
            <w:r>
              <w:rPr>
                <w:rFonts w:cs="Arial"/>
              </w:rPr>
              <w:t>00.000,00</w:t>
            </w:r>
          </w:p>
        </w:tc>
      </w:tr>
      <w:tr>
        <w:trPr/>
        <w:tc>
          <w:tcPr>
            <w:tcW w:w="1239"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rFonts w:cs="Arial"/>
              </w:rPr>
            </w:pPr>
            <w:r>
              <w:rPr>
                <w:rFonts w:cs="Arial"/>
              </w:rPr>
              <w:t>3.</w:t>
            </w:r>
          </w:p>
          <w:p>
            <w:pPr>
              <w:pStyle w:val="Normal"/>
              <w:spacing w:lineRule="auto" w:line="240" w:before="0" w:after="0"/>
              <w:jc w:val="center"/>
              <w:rPr>
                <w:rFonts w:cs="Arial"/>
              </w:rPr>
            </w:pPr>
            <w:r>
              <w:rPr>
                <w:rFonts w:cs="Arial"/>
              </w:rPr>
            </w:r>
          </w:p>
        </w:tc>
        <w:tc>
          <w:tcPr>
            <w:tcW w:w="5387" w:type="dxa"/>
            <w:tcBorders/>
            <w:shd w:fill="auto" w:val="clear"/>
            <w:tcMar>
              <w:left w:w="88" w:type="dxa"/>
            </w:tcMar>
            <w:vAlign w:val="center"/>
          </w:tcPr>
          <w:p>
            <w:pPr>
              <w:pStyle w:val="Normal"/>
              <w:spacing w:lineRule="auto" w:line="240" w:before="0" w:after="0"/>
              <w:jc w:val="center"/>
              <w:rPr>
                <w:rFonts w:cs="Arial"/>
              </w:rPr>
            </w:pPr>
            <w:r>
              <w:rPr>
                <w:rFonts w:cs="Arial"/>
              </w:rPr>
              <w:t xml:space="preserve">Nabavka i opremanje opremom </w:t>
            </w:r>
            <w:r>
              <w:rPr>
                <w:rFonts w:cs="Arial"/>
              </w:rPr>
              <w:t>mobilnog</w:t>
            </w:r>
            <w:r>
              <w:rPr>
                <w:rFonts w:cs="Arial"/>
              </w:rPr>
              <w:t xml:space="preserve"> reciklažnog dvorišta</w:t>
            </w:r>
          </w:p>
        </w:tc>
        <w:tc>
          <w:tcPr>
            <w:tcW w:w="2662" w:type="dxa"/>
            <w:tcBorders/>
            <w:shd w:fill="auto" w:val="clear"/>
            <w:tcMar>
              <w:left w:w="88" w:type="dxa"/>
            </w:tcMar>
            <w:vAlign w:val="center"/>
          </w:tcPr>
          <w:p>
            <w:pPr>
              <w:pStyle w:val="Normal"/>
              <w:spacing w:lineRule="auto" w:line="240" w:before="0" w:after="0"/>
              <w:jc w:val="center"/>
              <w:rPr>
                <w:rFonts w:cs="Arial"/>
              </w:rPr>
            </w:pPr>
            <w:r>
              <w:rPr>
                <w:rFonts w:cs="Arial"/>
              </w:rPr>
              <w:t>400.000,00</w:t>
            </w:r>
          </w:p>
        </w:tc>
      </w:tr>
      <w:tr>
        <w:trPr/>
        <w:tc>
          <w:tcPr>
            <w:tcW w:w="1239"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rFonts w:cs="Arial"/>
              </w:rPr>
            </w:pPr>
            <w:r>
              <w:rPr>
                <w:rFonts w:cs="Arial"/>
              </w:rPr>
              <w:t>4.</w:t>
            </w:r>
          </w:p>
          <w:p>
            <w:pPr>
              <w:pStyle w:val="Normal"/>
              <w:spacing w:lineRule="auto" w:line="240" w:before="0" w:after="0"/>
              <w:jc w:val="center"/>
              <w:rPr>
                <w:rFonts w:cs="Arial"/>
              </w:rPr>
            </w:pPr>
            <w:r>
              <w:rPr>
                <w:rFonts w:cs="Arial"/>
              </w:rPr>
            </w:r>
          </w:p>
        </w:tc>
        <w:tc>
          <w:tcPr>
            <w:tcW w:w="5387" w:type="dxa"/>
            <w:tcBorders/>
            <w:shd w:fill="auto" w:val="clear"/>
            <w:tcMar>
              <w:left w:w="88" w:type="dxa"/>
            </w:tcMar>
            <w:vAlign w:val="center"/>
          </w:tcPr>
          <w:p>
            <w:pPr>
              <w:pStyle w:val="Normal"/>
              <w:spacing w:lineRule="auto" w:line="240" w:before="0" w:after="0"/>
              <w:jc w:val="center"/>
              <w:rPr>
                <w:rFonts w:cs="Arial"/>
              </w:rPr>
            </w:pPr>
            <w:r>
              <w:rPr>
                <w:rFonts w:cs="Arial"/>
              </w:rPr>
              <w:t>Nabavka kompostera</w:t>
            </w:r>
          </w:p>
        </w:tc>
        <w:tc>
          <w:tcPr>
            <w:tcW w:w="2662" w:type="dxa"/>
            <w:tcBorders/>
            <w:shd w:fill="auto" w:val="clear"/>
            <w:tcMar>
              <w:left w:w="88" w:type="dxa"/>
            </w:tcMar>
            <w:vAlign w:val="center"/>
          </w:tcPr>
          <w:p>
            <w:pPr>
              <w:pStyle w:val="Normal"/>
              <w:spacing w:lineRule="auto" w:line="240" w:before="0" w:after="0"/>
              <w:jc w:val="center"/>
              <w:rPr/>
            </w:pPr>
            <w:r>
              <w:rPr>
                <w:rFonts w:cs="Arial"/>
              </w:rPr>
              <w:t>1</w:t>
            </w:r>
            <w:r>
              <w:rPr>
                <w:rFonts w:cs="Arial"/>
              </w:rPr>
              <w:t>0</w:t>
            </w:r>
            <w:r>
              <w:rPr>
                <w:rFonts w:cs="Arial"/>
              </w:rPr>
              <w:t>0.000,00</w:t>
            </w:r>
          </w:p>
        </w:tc>
      </w:tr>
      <w:tr>
        <w:trPr/>
        <w:tc>
          <w:tcPr>
            <w:tcW w:w="1239"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rFonts w:cs="Arial"/>
              </w:rPr>
            </w:pPr>
            <w:r>
              <w:rPr>
                <w:rFonts w:cs="Arial"/>
              </w:rPr>
              <w:t>5.</w:t>
            </w:r>
          </w:p>
          <w:p>
            <w:pPr>
              <w:pStyle w:val="Normal"/>
              <w:spacing w:lineRule="auto" w:line="240" w:before="0" w:after="0"/>
              <w:jc w:val="center"/>
              <w:rPr>
                <w:rFonts w:cs="Arial"/>
              </w:rPr>
            </w:pPr>
            <w:r>
              <w:rPr>
                <w:rFonts w:cs="Arial"/>
              </w:rPr>
            </w:r>
          </w:p>
        </w:tc>
        <w:tc>
          <w:tcPr>
            <w:tcW w:w="5387" w:type="dxa"/>
            <w:tcBorders/>
            <w:shd w:fill="auto" w:val="clear"/>
            <w:tcMar>
              <w:left w:w="88" w:type="dxa"/>
            </w:tcMar>
            <w:vAlign w:val="center"/>
          </w:tcPr>
          <w:p>
            <w:pPr>
              <w:pStyle w:val="Normal"/>
              <w:spacing w:lineRule="auto" w:line="240" w:before="0" w:after="0"/>
              <w:jc w:val="center"/>
              <w:rPr>
                <w:rFonts w:cs="Arial"/>
              </w:rPr>
            </w:pPr>
            <w:r>
              <w:rPr>
                <w:rFonts w:cs="Arial"/>
              </w:rPr>
              <w:t>Izobrazno-informativne aktivnosti</w:t>
            </w:r>
          </w:p>
        </w:tc>
        <w:tc>
          <w:tcPr>
            <w:tcW w:w="2662" w:type="dxa"/>
            <w:tcBorders/>
            <w:shd w:fill="auto" w:val="clear"/>
            <w:tcMar>
              <w:left w:w="88" w:type="dxa"/>
            </w:tcMar>
            <w:vAlign w:val="center"/>
          </w:tcPr>
          <w:p>
            <w:pPr>
              <w:pStyle w:val="Normal"/>
              <w:spacing w:lineRule="auto" w:line="240" w:before="0" w:after="0"/>
              <w:jc w:val="center"/>
              <w:rPr>
                <w:rFonts w:cs="Arial"/>
              </w:rPr>
            </w:pPr>
            <w:r>
              <w:rPr>
                <w:rFonts w:cs="Arial"/>
              </w:rPr>
              <w:t>50.000,00</w:t>
            </w:r>
          </w:p>
        </w:tc>
      </w:tr>
      <w:tr>
        <w:trPr/>
        <w:tc>
          <w:tcPr>
            <w:tcW w:w="6626" w:type="dxa"/>
            <w:gridSpan w:val="2"/>
            <w:tcBorders/>
            <w:shd w:color="auto" w:fill="auto" w:val="pct15"/>
            <w:tcMar>
              <w:left w:w="88" w:type="dxa"/>
            </w:tcMar>
            <w:vAlign w:val="center"/>
          </w:tcPr>
          <w:p>
            <w:pPr>
              <w:pStyle w:val="Normal"/>
              <w:spacing w:lineRule="auto" w:line="240" w:before="0" w:after="0"/>
              <w:jc w:val="center"/>
              <w:rPr>
                <w:rFonts w:cs="Arial"/>
                <w:b/>
                <w:b/>
              </w:rPr>
            </w:pPr>
            <w:r>
              <w:rPr>
                <w:rFonts w:cs="Arial"/>
                <w:b/>
              </w:rPr>
            </w:r>
          </w:p>
          <w:p>
            <w:pPr>
              <w:pStyle w:val="Normal"/>
              <w:spacing w:lineRule="auto" w:line="240" w:before="0" w:after="0"/>
              <w:jc w:val="left"/>
              <w:rPr>
                <w:rFonts w:cs="Arial"/>
                <w:b/>
                <w:b/>
              </w:rPr>
            </w:pPr>
            <w:r>
              <w:rPr>
                <w:rFonts w:cs="Arial"/>
                <w:b/>
              </w:rPr>
              <w:t>Ukupno</w:t>
            </w:r>
          </w:p>
          <w:p>
            <w:pPr>
              <w:pStyle w:val="Normal"/>
              <w:spacing w:lineRule="auto" w:line="240" w:before="0" w:after="0"/>
              <w:jc w:val="center"/>
              <w:rPr>
                <w:rFonts w:cs="Arial"/>
                <w:b/>
                <w:b/>
              </w:rPr>
            </w:pPr>
            <w:r>
              <w:rPr>
                <w:rFonts w:cs="Arial"/>
                <w:b/>
              </w:rPr>
            </w:r>
          </w:p>
        </w:tc>
        <w:tc>
          <w:tcPr>
            <w:tcW w:w="2662" w:type="dxa"/>
            <w:tcBorders/>
            <w:shd w:color="auto" w:fill="auto" w:val="pct15"/>
            <w:tcMar>
              <w:left w:w="88" w:type="dxa"/>
            </w:tcMar>
            <w:vAlign w:val="center"/>
          </w:tcPr>
          <w:p>
            <w:pPr>
              <w:pStyle w:val="Normal"/>
              <w:spacing w:lineRule="auto" w:line="240" w:before="0" w:after="0"/>
              <w:jc w:val="center"/>
              <w:rPr/>
            </w:pPr>
            <w:r>
              <w:rPr>
                <w:rFonts w:cs="Arial"/>
                <w:b/>
              </w:rPr>
              <w:t>1.</w:t>
            </w:r>
            <w:r>
              <w:rPr>
                <w:rFonts w:cs="Arial"/>
                <w:b/>
              </w:rPr>
              <w:t>09</w:t>
            </w:r>
            <w:r>
              <w:rPr>
                <w:rFonts w:cs="Arial"/>
                <w:b/>
              </w:rPr>
              <w:t>0.000,00</w:t>
            </w:r>
          </w:p>
        </w:tc>
      </w:tr>
    </w:tbl>
    <w:p>
      <w:pPr>
        <w:pStyle w:val="Normal"/>
        <w:spacing w:lineRule="auto" w:line="276" w:beforeAutospacing="1" w:afterAutospacing="1"/>
        <w:jc w:val="center"/>
        <w:rPr>
          <w:rFonts w:eastAsia="Times New Roman" w:cs="Arial"/>
          <w:lang w:eastAsia="hr-HR"/>
        </w:rPr>
      </w:pPr>
      <w:r>
        <w:rPr>
          <w:rFonts w:eastAsia="Times New Roman" w:cs="Arial"/>
          <w:lang w:eastAsia="hr-HR"/>
        </w:rPr>
      </w:r>
    </w:p>
    <w:p>
      <w:pPr>
        <w:pStyle w:val="Normal"/>
        <w:spacing w:lineRule="auto" w:line="276" w:beforeAutospacing="1" w:afterAutospacing="1"/>
        <w:jc w:val="center"/>
        <w:rPr>
          <w:rFonts w:eastAsia="Times New Roman" w:cs="Arial"/>
          <w:i/>
          <w:i/>
          <w:lang w:eastAsia="hr-HR"/>
        </w:rPr>
      </w:pPr>
      <w:r>
        <w:rPr>
          <w:rFonts w:eastAsia="Times New Roman" w:cs="Arial"/>
          <w:i/>
          <w:lang w:eastAsia="hr-HR"/>
        </w:rPr>
        <w:t>Tablica 11.2 Izvori financiranja za provedbu mjera gospodarenja otpadom</w:t>
      </w:r>
    </w:p>
    <w:tbl>
      <w:tblPr>
        <w:tblStyle w:val="TableGrid"/>
        <w:tblW w:w="9288" w:type="dxa"/>
        <w:jc w:val="left"/>
        <w:tblInd w:w="-20" w:type="dxa"/>
        <w:tblCellMar>
          <w:top w:w="0" w:type="dxa"/>
          <w:left w:w="88" w:type="dxa"/>
          <w:bottom w:w="0" w:type="dxa"/>
          <w:right w:w="108" w:type="dxa"/>
        </w:tblCellMar>
        <w:tblLook w:firstRow="1" w:noVBand="1" w:lastRow="0" w:firstColumn="1" w:lastColumn="0" w:noHBand="0" w:val="04a0"/>
      </w:tblPr>
      <w:tblGrid>
        <w:gridCol w:w="807"/>
        <w:gridCol w:w="3551"/>
        <w:gridCol w:w="3"/>
        <w:gridCol w:w="1500"/>
        <w:gridCol w:w="3"/>
        <w:gridCol w:w="1107"/>
        <w:gridCol w:w="3"/>
        <w:gridCol w:w="1100"/>
        <w:gridCol w:w="1213"/>
      </w:tblGrid>
      <w:tr>
        <w:trPr/>
        <w:tc>
          <w:tcPr>
            <w:tcW w:w="807" w:type="dxa"/>
            <w:tcBorders/>
            <w:shd w:color="auto" w:fill="auto" w:val="pct15"/>
            <w:tcMar>
              <w:left w:w="88" w:type="dxa"/>
            </w:tcMar>
            <w:vAlign w:val="center"/>
          </w:tcPr>
          <w:p>
            <w:pPr>
              <w:pStyle w:val="Normal"/>
              <w:spacing w:lineRule="auto" w:line="240" w:before="0" w:after="0"/>
              <w:jc w:val="center"/>
              <w:rPr>
                <w:rFonts w:cs="Arial"/>
                <w:b/>
                <w:b/>
              </w:rPr>
            </w:pPr>
            <w:r>
              <w:rPr>
                <w:rFonts w:cs="Arial"/>
                <w:b/>
              </w:rPr>
            </w:r>
          </w:p>
          <w:p>
            <w:pPr>
              <w:pStyle w:val="Normal"/>
              <w:spacing w:lineRule="auto" w:line="240" w:before="0" w:after="0"/>
              <w:jc w:val="center"/>
              <w:rPr>
                <w:rFonts w:cs="Arial"/>
                <w:b/>
                <w:b/>
              </w:rPr>
            </w:pPr>
            <w:r>
              <w:rPr>
                <w:rFonts w:cs="Arial"/>
                <w:b/>
              </w:rPr>
              <w:t>Poz.</w:t>
            </w:r>
          </w:p>
          <w:p>
            <w:pPr>
              <w:pStyle w:val="Normal"/>
              <w:spacing w:lineRule="auto" w:line="240" w:before="0" w:after="0"/>
              <w:jc w:val="center"/>
              <w:rPr>
                <w:rFonts w:cs="Arial"/>
                <w:b/>
                <w:b/>
              </w:rPr>
            </w:pPr>
            <w:r>
              <w:rPr>
                <w:rFonts w:cs="Arial"/>
                <w:b/>
              </w:rPr>
            </w:r>
          </w:p>
        </w:tc>
        <w:tc>
          <w:tcPr>
            <w:tcW w:w="3554" w:type="dxa"/>
            <w:gridSpan w:val="2"/>
            <w:tcBorders/>
            <w:shd w:color="auto" w:fill="auto" w:val="pct15"/>
            <w:tcMar>
              <w:left w:w="88" w:type="dxa"/>
            </w:tcMar>
            <w:vAlign w:val="center"/>
          </w:tcPr>
          <w:p>
            <w:pPr>
              <w:pStyle w:val="Normal"/>
              <w:spacing w:lineRule="auto" w:line="240" w:before="0" w:after="0"/>
              <w:jc w:val="center"/>
              <w:rPr>
                <w:rFonts w:cs="Arial"/>
                <w:b/>
                <w:b/>
              </w:rPr>
            </w:pPr>
            <w:r>
              <w:rPr>
                <w:rFonts w:cs="Arial"/>
                <w:b/>
              </w:rPr>
              <w:t>Naziv mjere</w:t>
            </w:r>
          </w:p>
        </w:tc>
        <w:tc>
          <w:tcPr>
            <w:tcW w:w="1503" w:type="dxa"/>
            <w:gridSpan w:val="2"/>
            <w:tcBorders/>
            <w:shd w:color="auto" w:fill="auto" w:val="pct15"/>
            <w:tcMar>
              <w:left w:w="88" w:type="dxa"/>
            </w:tcMar>
            <w:vAlign w:val="center"/>
          </w:tcPr>
          <w:p>
            <w:pPr>
              <w:pStyle w:val="Normal"/>
              <w:spacing w:lineRule="auto" w:line="240" w:before="0" w:after="0"/>
              <w:jc w:val="center"/>
              <w:rPr>
                <w:rFonts w:cs="Arial"/>
                <w:b/>
                <w:b/>
              </w:rPr>
            </w:pPr>
            <w:r>
              <w:rPr>
                <w:rFonts w:cs="Arial"/>
                <w:b/>
              </w:rPr>
              <w:t>Planirano</w:t>
            </w:r>
          </w:p>
          <w:p>
            <w:pPr>
              <w:pStyle w:val="Normal"/>
              <w:spacing w:lineRule="auto" w:line="240" w:before="0" w:after="0"/>
              <w:jc w:val="center"/>
              <w:rPr>
                <w:rFonts w:cs="Arial"/>
                <w:b/>
                <w:b/>
              </w:rPr>
            </w:pPr>
            <w:r>
              <w:rPr>
                <w:rFonts w:cs="Arial"/>
                <w:b/>
              </w:rPr>
              <w:t>/kn/</w:t>
            </w:r>
          </w:p>
        </w:tc>
        <w:tc>
          <w:tcPr>
            <w:tcW w:w="1110" w:type="dxa"/>
            <w:gridSpan w:val="2"/>
            <w:tcBorders/>
            <w:shd w:color="auto" w:fill="auto" w:val="pct15"/>
            <w:tcMar>
              <w:left w:w="88" w:type="dxa"/>
            </w:tcMar>
            <w:vAlign w:val="center"/>
          </w:tcPr>
          <w:p>
            <w:pPr>
              <w:pStyle w:val="Normal"/>
              <w:spacing w:lineRule="auto" w:line="240" w:before="0" w:after="0"/>
              <w:jc w:val="center"/>
              <w:rPr>
                <w:rFonts w:cs="Arial"/>
                <w:b/>
                <w:b/>
              </w:rPr>
            </w:pPr>
            <w:r>
              <w:rPr>
                <w:rFonts w:cs="Arial"/>
                <w:b/>
              </w:rPr>
              <w:t>Fond</w:t>
            </w:r>
          </w:p>
          <w:p>
            <w:pPr>
              <w:pStyle w:val="Normal"/>
              <w:spacing w:lineRule="auto" w:line="240" w:before="0" w:after="0"/>
              <w:jc w:val="center"/>
              <w:rPr>
                <w:rFonts w:cs="Arial"/>
                <w:b/>
                <w:b/>
              </w:rPr>
            </w:pPr>
            <w:r>
              <w:rPr>
                <w:rFonts w:cs="Arial"/>
                <w:b/>
              </w:rPr>
              <w:t>%</w:t>
            </w:r>
          </w:p>
        </w:tc>
        <w:tc>
          <w:tcPr>
            <w:tcW w:w="1100" w:type="dxa"/>
            <w:tcBorders/>
            <w:shd w:color="auto" w:fill="auto" w:val="pct15"/>
            <w:tcMar>
              <w:left w:w="88" w:type="dxa"/>
            </w:tcMar>
            <w:vAlign w:val="center"/>
          </w:tcPr>
          <w:p>
            <w:pPr>
              <w:pStyle w:val="Normal"/>
              <w:spacing w:lineRule="auto" w:line="240" w:before="0" w:after="0"/>
              <w:jc w:val="center"/>
              <w:rPr>
                <w:rFonts w:cs="Arial"/>
                <w:b/>
                <w:b/>
              </w:rPr>
            </w:pPr>
            <w:r>
              <w:rPr>
                <w:rFonts w:cs="Arial"/>
                <w:b/>
              </w:rPr>
              <w:t>JLS</w:t>
            </w:r>
          </w:p>
          <w:p>
            <w:pPr>
              <w:pStyle w:val="Normal"/>
              <w:spacing w:lineRule="auto" w:line="240" w:before="0" w:after="0"/>
              <w:jc w:val="center"/>
              <w:rPr>
                <w:rFonts w:cs="Arial"/>
                <w:b/>
                <w:b/>
              </w:rPr>
            </w:pPr>
            <w:r>
              <w:rPr>
                <w:rFonts w:cs="Arial"/>
                <w:b/>
              </w:rPr>
              <w:t>%</w:t>
            </w:r>
          </w:p>
        </w:tc>
        <w:tc>
          <w:tcPr>
            <w:tcW w:w="1213" w:type="dxa"/>
            <w:tcBorders/>
            <w:shd w:color="auto" w:fill="auto" w:val="pct15"/>
            <w:tcMar>
              <w:left w:w="88" w:type="dxa"/>
            </w:tcMar>
            <w:vAlign w:val="center"/>
          </w:tcPr>
          <w:p>
            <w:pPr>
              <w:pStyle w:val="Normal"/>
              <w:spacing w:lineRule="auto" w:line="240" w:before="0" w:after="0"/>
              <w:jc w:val="center"/>
              <w:rPr>
                <w:rFonts w:cs="Arial"/>
                <w:b/>
                <w:b/>
              </w:rPr>
            </w:pPr>
            <w:r>
              <w:rPr>
                <w:rFonts w:cs="Arial"/>
                <w:b/>
              </w:rPr>
              <w:t>Ostali</w:t>
            </w:r>
          </w:p>
          <w:p>
            <w:pPr>
              <w:pStyle w:val="Normal"/>
              <w:spacing w:lineRule="auto" w:line="240" w:before="0" w:after="0"/>
              <w:jc w:val="center"/>
              <w:rPr>
                <w:rFonts w:cs="Arial"/>
                <w:b/>
                <w:b/>
              </w:rPr>
            </w:pPr>
            <w:r>
              <w:rPr>
                <w:rFonts w:cs="Arial"/>
                <w:b/>
              </w:rPr>
              <w:t>%</w:t>
            </w:r>
          </w:p>
        </w:tc>
      </w:tr>
      <w:tr>
        <w:trPr/>
        <w:tc>
          <w:tcPr>
            <w:tcW w:w="807"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rFonts w:cs="Arial"/>
              </w:rPr>
            </w:pPr>
            <w:r>
              <w:rPr>
                <w:rFonts w:cs="Arial"/>
              </w:rPr>
              <w:t>1.</w:t>
            </w:r>
          </w:p>
          <w:p>
            <w:pPr>
              <w:pStyle w:val="Normal"/>
              <w:spacing w:lineRule="auto" w:line="240" w:before="0" w:after="0"/>
              <w:jc w:val="center"/>
              <w:rPr>
                <w:rFonts w:cs="Arial"/>
              </w:rPr>
            </w:pPr>
            <w:r>
              <w:rPr>
                <w:rFonts w:cs="Arial"/>
              </w:rPr>
            </w:r>
          </w:p>
        </w:tc>
        <w:tc>
          <w:tcPr>
            <w:tcW w:w="3554" w:type="dxa"/>
            <w:gridSpan w:val="2"/>
            <w:tcBorders/>
            <w:shd w:fill="auto" w:val="clear"/>
            <w:tcMar>
              <w:left w:w="88" w:type="dxa"/>
            </w:tcMar>
            <w:vAlign w:val="center"/>
          </w:tcPr>
          <w:p>
            <w:pPr>
              <w:pStyle w:val="Normal"/>
              <w:spacing w:lineRule="auto" w:line="240" w:before="0" w:after="0"/>
              <w:jc w:val="center"/>
              <w:rPr>
                <w:rFonts w:cs="Arial"/>
              </w:rPr>
            </w:pPr>
            <w:r>
              <w:rPr>
                <w:rFonts w:cs="Arial"/>
              </w:rPr>
              <w:t>Projektna dokumentacija za izgradnju reciklažnog dvorišta</w:t>
            </w:r>
          </w:p>
        </w:tc>
        <w:tc>
          <w:tcPr>
            <w:tcW w:w="1503" w:type="dxa"/>
            <w:gridSpan w:val="2"/>
            <w:tcBorders/>
            <w:shd w:fill="auto" w:val="clear"/>
            <w:tcMar>
              <w:left w:w="88" w:type="dxa"/>
            </w:tcMar>
            <w:vAlign w:val="center"/>
          </w:tcPr>
          <w:p>
            <w:pPr>
              <w:pStyle w:val="Normal"/>
              <w:spacing w:lineRule="auto" w:line="240" w:before="0" w:after="0"/>
              <w:jc w:val="center"/>
              <w:rPr/>
            </w:pPr>
            <w:r>
              <w:rPr>
                <w:rFonts w:cs="Arial"/>
              </w:rPr>
              <w:t>4</w:t>
            </w:r>
            <w:r>
              <w:rPr>
                <w:rFonts w:cs="Arial"/>
              </w:rPr>
              <w:t>0.000,00</w:t>
            </w:r>
          </w:p>
        </w:tc>
        <w:tc>
          <w:tcPr>
            <w:tcW w:w="1110" w:type="dxa"/>
            <w:gridSpan w:val="2"/>
            <w:tcBorders/>
            <w:shd w:fill="auto" w:val="clear"/>
            <w:tcMar>
              <w:left w:w="88" w:type="dxa"/>
            </w:tcMar>
            <w:vAlign w:val="center"/>
          </w:tcPr>
          <w:p>
            <w:pPr>
              <w:pStyle w:val="Normal"/>
              <w:spacing w:lineRule="auto" w:line="240" w:before="0" w:after="0"/>
              <w:jc w:val="center"/>
              <w:rPr>
                <w:rFonts w:cs="Arial"/>
              </w:rPr>
            </w:pPr>
            <w:r>
              <w:rPr>
                <w:rFonts w:cs="Arial"/>
              </w:rPr>
              <w:t>100</w:t>
            </w:r>
          </w:p>
        </w:tc>
        <w:tc>
          <w:tcPr>
            <w:tcW w:w="1100" w:type="dxa"/>
            <w:tcBorders/>
            <w:shd w:fill="auto" w:val="clear"/>
            <w:tcMar>
              <w:left w:w="88" w:type="dxa"/>
            </w:tcMar>
            <w:vAlign w:val="center"/>
          </w:tcPr>
          <w:p>
            <w:pPr>
              <w:pStyle w:val="Normal"/>
              <w:spacing w:lineRule="auto" w:line="240" w:before="0" w:after="0"/>
              <w:jc w:val="center"/>
              <w:rPr>
                <w:rFonts w:cs="Arial"/>
              </w:rPr>
            </w:pPr>
            <w:r>
              <w:rPr>
                <w:rFonts w:cs="Arial"/>
              </w:rPr>
              <w:t>-</w:t>
            </w:r>
          </w:p>
        </w:tc>
        <w:tc>
          <w:tcPr>
            <w:tcW w:w="1213" w:type="dxa"/>
            <w:tcBorders/>
            <w:shd w:fill="auto" w:val="clear"/>
            <w:tcMar>
              <w:left w:w="88" w:type="dxa"/>
            </w:tcMar>
            <w:vAlign w:val="center"/>
          </w:tcPr>
          <w:p>
            <w:pPr>
              <w:pStyle w:val="Normal"/>
              <w:spacing w:lineRule="auto" w:line="240" w:before="0" w:after="0"/>
              <w:jc w:val="center"/>
              <w:rPr>
                <w:rFonts w:cs="Arial"/>
              </w:rPr>
            </w:pPr>
            <w:r>
              <w:rPr>
                <w:rFonts w:cs="Arial"/>
              </w:rPr>
              <w:t>-</w:t>
            </w:r>
          </w:p>
        </w:tc>
      </w:tr>
      <w:tr>
        <w:trPr/>
        <w:tc>
          <w:tcPr>
            <w:tcW w:w="807"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rFonts w:cs="Arial"/>
              </w:rPr>
            </w:pPr>
            <w:r>
              <w:rPr>
                <w:rFonts w:cs="Arial"/>
              </w:rPr>
              <w:t>2.</w:t>
            </w:r>
          </w:p>
          <w:p>
            <w:pPr>
              <w:pStyle w:val="Normal"/>
              <w:spacing w:lineRule="auto" w:line="240" w:before="0" w:after="0"/>
              <w:jc w:val="center"/>
              <w:rPr>
                <w:rFonts w:cs="Arial"/>
              </w:rPr>
            </w:pPr>
            <w:r>
              <w:rPr>
                <w:rFonts w:cs="Arial"/>
              </w:rPr>
            </w:r>
          </w:p>
        </w:tc>
        <w:tc>
          <w:tcPr>
            <w:tcW w:w="3554" w:type="dxa"/>
            <w:gridSpan w:val="2"/>
            <w:tcBorders/>
            <w:shd w:fill="auto" w:val="clear"/>
            <w:tcMar>
              <w:left w:w="88" w:type="dxa"/>
            </w:tcMar>
            <w:vAlign w:val="center"/>
          </w:tcPr>
          <w:p>
            <w:pPr>
              <w:pStyle w:val="Normal"/>
              <w:spacing w:lineRule="auto" w:line="240" w:before="0" w:after="0"/>
              <w:jc w:val="center"/>
              <w:rPr>
                <w:rFonts w:cs="Arial"/>
              </w:rPr>
            </w:pPr>
            <w:r>
              <w:rPr>
                <w:rFonts w:cs="Arial"/>
              </w:rPr>
              <w:t>Izgradnja reciklažnog dvorišta</w:t>
            </w:r>
          </w:p>
        </w:tc>
        <w:tc>
          <w:tcPr>
            <w:tcW w:w="1503" w:type="dxa"/>
            <w:gridSpan w:val="2"/>
            <w:tcBorders/>
            <w:shd w:fill="auto" w:val="clear"/>
            <w:tcMar>
              <w:left w:w="88" w:type="dxa"/>
            </w:tcMar>
            <w:vAlign w:val="center"/>
          </w:tcPr>
          <w:p>
            <w:pPr>
              <w:pStyle w:val="Normal"/>
              <w:spacing w:lineRule="auto" w:line="240" w:before="0" w:after="0"/>
              <w:jc w:val="center"/>
              <w:rPr/>
            </w:pPr>
            <w:r>
              <w:rPr>
                <w:rFonts w:cs="Arial"/>
              </w:rPr>
              <w:t>5</w:t>
            </w:r>
            <w:r>
              <w:rPr>
                <w:rFonts w:cs="Arial"/>
              </w:rPr>
              <w:t>00.000,00</w:t>
            </w:r>
          </w:p>
        </w:tc>
        <w:tc>
          <w:tcPr>
            <w:tcW w:w="1110" w:type="dxa"/>
            <w:gridSpan w:val="2"/>
            <w:tcBorders/>
            <w:shd w:fill="auto" w:val="clear"/>
            <w:tcMar>
              <w:left w:w="88" w:type="dxa"/>
            </w:tcMar>
            <w:vAlign w:val="center"/>
          </w:tcPr>
          <w:p>
            <w:pPr>
              <w:pStyle w:val="Normal"/>
              <w:spacing w:lineRule="auto" w:line="240" w:before="0" w:after="0"/>
              <w:jc w:val="center"/>
              <w:rPr>
                <w:rFonts w:cs="Arial"/>
              </w:rPr>
            </w:pPr>
            <w:r>
              <w:rPr>
                <w:rFonts w:cs="Arial"/>
              </w:rPr>
              <w:t>80</w:t>
            </w:r>
          </w:p>
        </w:tc>
        <w:tc>
          <w:tcPr>
            <w:tcW w:w="1100" w:type="dxa"/>
            <w:tcBorders/>
            <w:shd w:fill="auto" w:val="clear"/>
            <w:tcMar>
              <w:left w:w="88" w:type="dxa"/>
            </w:tcMar>
            <w:vAlign w:val="center"/>
          </w:tcPr>
          <w:p>
            <w:pPr>
              <w:pStyle w:val="Normal"/>
              <w:spacing w:lineRule="auto" w:line="240" w:before="0" w:after="0"/>
              <w:jc w:val="center"/>
              <w:rPr>
                <w:rFonts w:cs="Arial"/>
              </w:rPr>
            </w:pPr>
            <w:r>
              <w:rPr>
                <w:rFonts w:cs="Arial"/>
              </w:rPr>
              <w:t>20</w:t>
            </w:r>
          </w:p>
        </w:tc>
        <w:tc>
          <w:tcPr>
            <w:tcW w:w="1213" w:type="dxa"/>
            <w:tcBorders/>
            <w:shd w:fill="auto" w:val="clear"/>
            <w:tcMar>
              <w:left w:w="88" w:type="dxa"/>
            </w:tcMar>
            <w:vAlign w:val="center"/>
          </w:tcPr>
          <w:p>
            <w:pPr>
              <w:pStyle w:val="Normal"/>
              <w:spacing w:lineRule="auto" w:line="240" w:before="0" w:after="0"/>
              <w:jc w:val="center"/>
              <w:rPr>
                <w:rFonts w:cs="Arial"/>
              </w:rPr>
            </w:pPr>
            <w:r>
              <w:rPr>
                <w:rFonts w:cs="Arial"/>
              </w:rPr>
              <w:t>-</w:t>
            </w:r>
          </w:p>
        </w:tc>
      </w:tr>
      <w:tr>
        <w:trPr/>
        <w:tc>
          <w:tcPr>
            <w:tcW w:w="807"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rFonts w:cs="Arial"/>
              </w:rPr>
            </w:pPr>
            <w:r>
              <w:rPr>
                <w:rFonts w:cs="Arial"/>
              </w:rPr>
              <w:t>3.</w:t>
            </w:r>
          </w:p>
          <w:p>
            <w:pPr>
              <w:pStyle w:val="Normal"/>
              <w:spacing w:lineRule="auto" w:line="240" w:before="0" w:after="0"/>
              <w:jc w:val="center"/>
              <w:rPr>
                <w:rFonts w:cs="Arial"/>
              </w:rPr>
            </w:pPr>
            <w:r>
              <w:rPr>
                <w:rFonts w:cs="Arial"/>
              </w:rPr>
            </w:r>
          </w:p>
        </w:tc>
        <w:tc>
          <w:tcPr>
            <w:tcW w:w="3554" w:type="dxa"/>
            <w:gridSpan w:val="2"/>
            <w:tcBorders/>
            <w:shd w:fill="auto" w:val="clear"/>
            <w:tcMar>
              <w:left w:w="88" w:type="dxa"/>
            </w:tcMar>
            <w:vAlign w:val="center"/>
          </w:tcPr>
          <w:p>
            <w:pPr>
              <w:pStyle w:val="Normal"/>
              <w:spacing w:lineRule="auto" w:line="240" w:before="0" w:after="0"/>
              <w:jc w:val="center"/>
              <w:rPr>
                <w:rFonts w:cs="Arial"/>
              </w:rPr>
            </w:pPr>
            <w:r>
              <w:rPr>
                <w:rFonts w:cs="Arial"/>
              </w:rPr>
              <w:t>Nabavka i opremanje opremom reciklažnog dvorišta</w:t>
            </w:r>
          </w:p>
        </w:tc>
        <w:tc>
          <w:tcPr>
            <w:tcW w:w="1503" w:type="dxa"/>
            <w:gridSpan w:val="2"/>
            <w:tcBorders/>
            <w:shd w:fill="auto" w:val="clear"/>
            <w:tcMar>
              <w:left w:w="88" w:type="dxa"/>
            </w:tcMar>
            <w:vAlign w:val="center"/>
          </w:tcPr>
          <w:p>
            <w:pPr>
              <w:pStyle w:val="Normal"/>
              <w:spacing w:lineRule="auto" w:line="240" w:before="0" w:after="0"/>
              <w:jc w:val="center"/>
              <w:rPr>
                <w:rFonts w:cs="Arial"/>
              </w:rPr>
            </w:pPr>
            <w:r>
              <w:rPr>
                <w:rFonts w:cs="Arial"/>
              </w:rPr>
              <w:t>400.000,00</w:t>
            </w:r>
          </w:p>
        </w:tc>
        <w:tc>
          <w:tcPr>
            <w:tcW w:w="1110" w:type="dxa"/>
            <w:gridSpan w:val="2"/>
            <w:tcBorders/>
            <w:shd w:fill="auto" w:val="clear"/>
            <w:tcMar>
              <w:left w:w="88" w:type="dxa"/>
            </w:tcMar>
            <w:vAlign w:val="center"/>
          </w:tcPr>
          <w:p>
            <w:pPr>
              <w:pStyle w:val="Normal"/>
              <w:spacing w:lineRule="auto" w:line="240" w:before="0" w:after="0"/>
              <w:jc w:val="center"/>
              <w:rPr>
                <w:rFonts w:cs="Arial"/>
              </w:rPr>
            </w:pPr>
            <w:r>
              <w:rPr>
                <w:rFonts w:cs="Arial"/>
              </w:rPr>
              <w:t>80</w:t>
            </w:r>
          </w:p>
        </w:tc>
        <w:tc>
          <w:tcPr>
            <w:tcW w:w="1100" w:type="dxa"/>
            <w:tcBorders/>
            <w:shd w:fill="auto" w:val="clear"/>
            <w:tcMar>
              <w:left w:w="88" w:type="dxa"/>
            </w:tcMar>
            <w:vAlign w:val="center"/>
          </w:tcPr>
          <w:p>
            <w:pPr>
              <w:pStyle w:val="Normal"/>
              <w:spacing w:lineRule="auto" w:line="240" w:before="0" w:after="0"/>
              <w:jc w:val="center"/>
              <w:rPr>
                <w:rFonts w:cs="Arial"/>
              </w:rPr>
            </w:pPr>
            <w:r>
              <w:rPr>
                <w:rFonts w:cs="Arial"/>
              </w:rPr>
              <w:t>20</w:t>
            </w:r>
          </w:p>
        </w:tc>
        <w:tc>
          <w:tcPr>
            <w:tcW w:w="1213" w:type="dxa"/>
            <w:tcBorders/>
            <w:shd w:fill="auto" w:val="clear"/>
            <w:tcMar>
              <w:left w:w="88" w:type="dxa"/>
            </w:tcMar>
            <w:vAlign w:val="center"/>
          </w:tcPr>
          <w:p>
            <w:pPr>
              <w:pStyle w:val="Normal"/>
              <w:spacing w:lineRule="auto" w:line="240" w:before="0" w:after="0"/>
              <w:jc w:val="center"/>
              <w:rPr>
                <w:rFonts w:cs="Arial"/>
              </w:rPr>
            </w:pPr>
            <w:r>
              <w:rPr>
                <w:rFonts w:cs="Arial"/>
              </w:rPr>
              <w:t>-</w:t>
            </w:r>
          </w:p>
        </w:tc>
      </w:tr>
      <w:tr>
        <w:trPr/>
        <w:tc>
          <w:tcPr>
            <w:tcW w:w="807"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rFonts w:cs="Arial"/>
              </w:rPr>
            </w:pPr>
            <w:r>
              <w:rPr>
                <w:rFonts w:cs="Arial"/>
              </w:rPr>
              <w:t>4.</w:t>
            </w:r>
          </w:p>
          <w:p>
            <w:pPr>
              <w:pStyle w:val="Normal"/>
              <w:spacing w:lineRule="auto" w:line="240" w:before="0" w:after="0"/>
              <w:jc w:val="center"/>
              <w:rPr>
                <w:rFonts w:cs="Arial"/>
              </w:rPr>
            </w:pPr>
            <w:r>
              <w:rPr>
                <w:rFonts w:cs="Arial"/>
              </w:rPr>
            </w:r>
          </w:p>
        </w:tc>
        <w:tc>
          <w:tcPr>
            <w:tcW w:w="3554" w:type="dxa"/>
            <w:gridSpan w:val="2"/>
            <w:tcBorders/>
            <w:shd w:fill="auto" w:val="clear"/>
            <w:tcMar>
              <w:left w:w="88" w:type="dxa"/>
            </w:tcMar>
            <w:vAlign w:val="center"/>
          </w:tcPr>
          <w:p>
            <w:pPr>
              <w:pStyle w:val="Normal"/>
              <w:spacing w:lineRule="auto" w:line="240" w:before="0" w:after="0"/>
              <w:jc w:val="center"/>
              <w:rPr>
                <w:rFonts w:cs="Arial"/>
              </w:rPr>
            </w:pPr>
            <w:r>
              <w:rPr>
                <w:rFonts w:cs="Arial"/>
              </w:rPr>
              <w:t>Nabavka kompostera</w:t>
            </w:r>
          </w:p>
        </w:tc>
        <w:tc>
          <w:tcPr>
            <w:tcW w:w="1503" w:type="dxa"/>
            <w:gridSpan w:val="2"/>
            <w:tcBorders/>
            <w:shd w:fill="auto" w:val="clear"/>
            <w:tcMar>
              <w:left w:w="88" w:type="dxa"/>
            </w:tcMar>
            <w:vAlign w:val="center"/>
          </w:tcPr>
          <w:p>
            <w:pPr>
              <w:pStyle w:val="Normal"/>
              <w:spacing w:lineRule="auto" w:line="240" w:before="0" w:after="0"/>
              <w:jc w:val="center"/>
              <w:rPr/>
            </w:pPr>
            <w:r>
              <w:rPr>
                <w:rFonts w:cs="Arial"/>
              </w:rPr>
              <w:t>1</w:t>
            </w:r>
            <w:r>
              <w:rPr>
                <w:rFonts w:cs="Arial"/>
              </w:rPr>
              <w:t>00.000,00</w:t>
            </w:r>
          </w:p>
        </w:tc>
        <w:tc>
          <w:tcPr>
            <w:tcW w:w="1110" w:type="dxa"/>
            <w:gridSpan w:val="2"/>
            <w:tcBorders/>
            <w:shd w:fill="auto" w:val="clear"/>
            <w:tcMar>
              <w:left w:w="88" w:type="dxa"/>
            </w:tcMar>
            <w:vAlign w:val="center"/>
          </w:tcPr>
          <w:p>
            <w:pPr>
              <w:pStyle w:val="Normal"/>
              <w:spacing w:lineRule="auto" w:line="240" w:before="0" w:after="0"/>
              <w:jc w:val="center"/>
              <w:rPr>
                <w:rFonts w:cs="Arial"/>
              </w:rPr>
            </w:pPr>
            <w:r>
              <w:rPr>
                <w:rFonts w:cs="Arial"/>
              </w:rPr>
              <w:t>40</w:t>
            </w:r>
          </w:p>
        </w:tc>
        <w:tc>
          <w:tcPr>
            <w:tcW w:w="1100" w:type="dxa"/>
            <w:tcBorders/>
            <w:shd w:fill="auto" w:val="clear"/>
            <w:tcMar>
              <w:left w:w="88" w:type="dxa"/>
            </w:tcMar>
            <w:vAlign w:val="center"/>
          </w:tcPr>
          <w:p>
            <w:pPr>
              <w:pStyle w:val="Normal"/>
              <w:spacing w:lineRule="auto" w:line="240" w:before="0" w:after="0"/>
              <w:jc w:val="center"/>
              <w:rPr>
                <w:rFonts w:cs="Arial"/>
              </w:rPr>
            </w:pPr>
            <w:r>
              <w:rPr>
                <w:rFonts w:cs="Arial"/>
              </w:rPr>
              <w:t>60</w:t>
            </w:r>
          </w:p>
        </w:tc>
        <w:tc>
          <w:tcPr>
            <w:tcW w:w="1213" w:type="dxa"/>
            <w:tcBorders/>
            <w:shd w:fill="auto" w:val="clear"/>
            <w:tcMar>
              <w:left w:w="88" w:type="dxa"/>
            </w:tcMar>
            <w:vAlign w:val="center"/>
          </w:tcPr>
          <w:p>
            <w:pPr>
              <w:pStyle w:val="Normal"/>
              <w:spacing w:lineRule="auto" w:line="240" w:before="0" w:after="0"/>
              <w:jc w:val="center"/>
              <w:rPr>
                <w:rFonts w:cs="Arial"/>
              </w:rPr>
            </w:pPr>
            <w:r>
              <w:rPr>
                <w:rFonts w:cs="Arial"/>
              </w:rPr>
              <w:t>-</w:t>
            </w:r>
          </w:p>
        </w:tc>
      </w:tr>
      <w:tr>
        <w:trPr/>
        <w:tc>
          <w:tcPr>
            <w:tcW w:w="807"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rFonts w:cs="Arial"/>
              </w:rPr>
            </w:pPr>
            <w:r>
              <w:rPr>
                <w:rFonts w:cs="Arial"/>
              </w:rPr>
              <w:t>5.</w:t>
            </w:r>
          </w:p>
          <w:p>
            <w:pPr>
              <w:pStyle w:val="Normal"/>
              <w:spacing w:lineRule="auto" w:line="240" w:before="0" w:after="0"/>
              <w:jc w:val="center"/>
              <w:rPr>
                <w:rFonts w:cs="Arial"/>
              </w:rPr>
            </w:pPr>
            <w:r>
              <w:rPr>
                <w:rFonts w:cs="Arial"/>
              </w:rPr>
            </w:r>
          </w:p>
        </w:tc>
        <w:tc>
          <w:tcPr>
            <w:tcW w:w="3554" w:type="dxa"/>
            <w:gridSpan w:val="2"/>
            <w:tcBorders/>
            <w:shd w:fill="auto" w:val="clear"/>
            <w:tcMar>
              <w:left w:w="88" w:type="dxa"/>
            </w:tcMar>
            <w:vAlign w:val="center"/>
          </w:tcPr>
          <w:p>
            <w:pPr>
              <w:pStyle w:val="Normal"/>
              <w:spacing w:lineRule="auto" w:line="240" w:before="0" w:after="0"/>
              <w:jc w:val="center"/>
              <w:rPr>
                <w:rFonts w:cs="Arial"/>
              </w:rPr>
            </w:pPr>
            <w:r>
              <w:rPr>
                <w:rFonts w:cs="Arial"/>
              </w:rPr>
              <w:t>Izobrazno-informativne aktivnosti</w:t>
            </w:r>
          </w:p>
        </w:tc>
        <w:tc>
          <w:tcPr>
            <w:tcW w:w="1503" w:type="dxa"/>
            <w:gridSpan w:val="2"/>
            <w:tcBorders/>
            <w:shd w:fill="auto" w:val="clear"/>
            <w:tcMar>
              <w:left w:w="88" w:type="dxa"/>
            </w:tcMar>
            <w:vAlign w:val="center"/>
          </w:tcPr>
          <w:p>
            <w:pPr>
              <w:pStyle w:val="Normal"/>
              <w:spacing w:lineRule="auto" w:line="240" w:before="0" w:after="0"/>
              <w:jc w:val="center"/>
              <w:rPr>
                <w:rFonts w:cs="Arial"/>
              </w:rPr>
            </w:pPr>
            <w:r>
              <w:rPr>
                <w:rFonts w:cs="Arial"/>
              </w:rPr>
              <w:t>50.000,00</w:t>
            </w:r>
          </w:p>
        </w:tc>
        <w:tc>
          <w:tcPr>
            <w:tcW w:w="1110" w:type="dxa"/>
            <w:gridSpan w:val="2"/>
            <w:tcBorders/>
            <w:shd w:fill="auto" w:val="clear"/>
            <w:tcMar>
              <w:left w:w="88" w:type="dxa"/>
            </w:tcMar>
            <w:vAlign w:val="center"/>
          </w:tcPr>
          <w:p>
            <w:pPr>
              <w:pStyle w:val="Normal"/>
              <w:spacing w:lineRule="auto" w:line="240" w:before="0" w:after="0"/>
              <w:jc w:val="center"/>
              <w:rPr>
                <w:rFonts w:cs="Arial"/>
              </w:rPr>
            </w:pPr>
            <w:r>
              <w:rPr>
                <w:rFonts w:cs="Arial"/>
              </w:rPr>
              <w:t>-</w:t>
            </w:r>
          </w:p>
        </w:tc>
        <w:tc>
          <w:tcPr>
            <w:tcW w:w="1100" w:type="dxa"/>
            <w:tcBorders/>
            <w:shd w:fill="auto" w:val="clear"/>
            <w:tcMar>
              <w:left w:w="88" w:type="dxa"/>
            </w:tcMar>
            <w:vAlign w:val="center"/>
          </w:tcPr>
          <w:p>
            <w:pPr>
              <w:pStyle w:val="Normal"/>
              <w:spacing w:lineRule="auto" w:line="240" w:before="0" w:after="0"/>
              <w:jc w:val="center"/>
              <w:rPr>
                <w:rFonts w:cs="Arial"/>
              </w:rPr>
            </w:pPr>
            <w:r>
              <w:rPr>
                <w:rFonts w:cs="Arial"/>
              </w:rPr>
              <w:t>100</w:t>
            </w:r>
          </w:p>
        </w:tc>
        <w:tc>
          <w:tcPr>
            <w:tcW w:w="1213" w:type="dxa"/>
            <w:tcBorders/>
            <w:shd w:fill="auto" w:val="clear"/>
            <w:tcMar>
              <w:left w:w="88" w:type="dxa"/>
            </w:tcMar>
            <w:vAlign w:val="center"/>
          </w:tcPr>
          <w:p>
            <w:pPr>
              <w:pStyle w:val="Normal"/>
              <w:spacing w:lineRule="auto" w:line="240" w:before="0" w:after="0"/>
              <w:jc w:val="center"/>
              <w:rPr>
                <w:rFonts w:cs="Arial"/>
              </w:rPr>
            </w:pPr>
            <w:r>
              <w:rPr>
                <w:rFonts w:cs="Arial"/>
              </w:rPr>
              <w:t>-</w:t>
            </w:r>
          </w:p>
        </w:tc>
      </w:tr>
      <w:tr>
        <w:trPr/>
        <w:tc>
          <w:tcPr>
            <w:tcW w:w="4358" w:type="dxa"/>
            <w:gridSpan w:val="2"/>
            <w:tcBorders/>
            <w:shd w:color="auto" w:fill="auto" w:val="pct15"/>
            <w:tcMar>
              <w:left w:w="88" w:type="dxa"/>
            </w:tcMar>
            <w:vAlign w:val="center"/>
          </w:tcPr>
          <w:p>
            <w:pPr>
              <w:pStyle w:val="Normal"/>
              <w:spacing w:lineRule="auto" w:line="240" w:before="0" w:after="0"/>
              <w:jc w:val="center"/>
              <w:rPr>
                <w:rFonts w:cs="Arial"/>
                <w:b/>
                <w:b/>
              </w:rPr>
            </w:pPr>
            <w:r>
              <w:rPr>
                <w:rFonts w:cs="Arial"/>
                <w:b/>
              </w:rPr>
            </w:r>
          </w:p>
          <w:p>
            <w:pPr>
              <w:pStyle w:val="Normal"/>
              <w:spacing w:lineRule="auto" w:line="240" w:before="0" w:after="0"/>
              <w:jc w:val="left"/>
              <w:rPr>
                <w:rFonts w:cs="Arial"/>
                <w:b/>
                <w:b/>
              </w:rPr>
            </w:pPr>
            <w:r>
              <w:rPr>
                <w:rFonts w:cs="Arial"/>
                <w:b/>
              </w:rPr>
              <w:t>Ukupno</w:t>
            </w:r>
          </w:p>
          <w:p>
            <w:pPr>
              <w:pStyle w:val="Normal"/>
              <w:spacing w:lineRule="auto" w:line="240" w:before="0" w:after="0"/>
              <w:jc w:val="center"/>
              <w:rPr>
                <w:rFonts w:cs="Arial"/>
                <w:b/>
                <w:b/>
              </w:rPr>
            </w:pPr>
            <w:r>
              <w:rPr>
                <w:rFonts w:cs="Arial"/>
                <w:b/>
              </w:rPr>
            </w:r>
          </w:p>
        </w:tc>
        <w:tc>
          <w:tcPr>
            <w:tcW w:w="1503" w:type="dxa"/>
            <w:gridSpan w:val="2"/>
            <w:tcBorders/>
            <w:shd w:color="auto" w:fill="auto" w:val="pct15"/>
            <w:tcMar>
              <w:left w:w="88" w:type="dxa"/>
            </w:tcMar>
            <w:vAlign w:val="center"/>
          </w:tcPr>
          <w:p>
            <w:pPr>
              <w:pStyle w:val="Normal"/>
              <w:spacing w:lineRule="auto" w:line="240" w:before="0" w:after="0"/>
              <w:jc w:val="center"/>
              <w:rPr/>
            </w:pPr>
            <w:r>
              <w:rPr>
                <w:rFonts w:cs="Arial"/>
                <w:b/>
              </w:rPr>
              <w:t>1.</w:t>
            </w:r>
            <w:r>
              <w:rPr>
                <w:rFonts w:cs="Arial"/>
                <w:b/>
              </w:rPr>
              <w:t>09</w:t>
            </w:r>
            <w:r>
              <w:rPr>
                <w:rFonts w:cs="Arial"/>
                <w:b/>
              </w:rPr>
              <w:t>0.000,00</w:t>
            </w:r>
          </w:p>
        </w:tc>
        <w:tc>
          <w:tcPr>
            <w:tcW w:w="1110" w:type="dxa"/>
            <w:gridSpan w:val="2"/>
            <w:tcBorders/>
            <w:shd w:color="auto" w:fill="auto" w:val="pct15"/>
            <w:tcMar>
              <w:left w:w="88" w:type="dxa"/>
            </w:tcMar>
            <w:vAlign w:val="center"/>
          </w:tcPr>
          <w:p>
            <w:pPr>
              <w:pStyle w:val="Normal"/>
              <w:spacing w:lineRule="auto" w:line="240" w:before="0" w:after="0"/>
              <w:jc w:val="center"/>
              <w:rPr>
                <w:rFonts w:cs="Arial"/>
                <w:b/>
                <w:b/>
              </w:rPr>
            </w:pPr>
            <w:r>
              <w:rPr>
                <w:rFonts w:cs="Arial"/>
                <w:b/>
              </w:rPr>
            </w:r>
          </w:p>
        </w:tc>
        <w:tc>
          <w:tcPr>
            <w:tcW w:w="1103" w:type="dxa"/>
            <w:gridSpan w:val="2"/>
            <w:tcBorders/>
            <w:shd w:color="auto" w:fill="auto" w:val="pct15"/>
            <w:tcMar>
              <w:left w:w="88" w:type="dxa"/>
            </w:tcMar>
            <w:vAlign w:val="center"/>
          </w:tcPr>
          <w:p>
            <w:pPr>
              <w:pStyle w:val="Normal"/>
              <w:spacing w:lineRule="auto" w:line="240" w:before="0" w:after="0"/>
              <w:jc w:val="center"/>
              <w:rPr>
                <w:rFonts w:cs="Arial"/>
                <w:b/>
                <w:b/>
              </w:rPr>
            </w:pPr>
            <w:r>
              <w:rPr>
                <w:rFonts w:cs="Arial"/>
                <w:b/>
              </w:rPr>
            </w:r>
          </w:p>
        </w:tc>
        <w:tc>
          <w:tcPr>
            <w:tcW w:w="1213" w:type="dxa"/>
            <w:tcBorders/>
            <w:shd w:color="auto" w:fill="auto" w:val="pct15"/>
            <w:tcMar>
              <w:left w:w="88" w:type="dxa"/>
            </w:tcMar>
            <w:vAlign w:val="center"/>
          </w:tcPr>
          <w:p>
            <w:pPr>
              <w:pStyle w:val="Normal"/>
              <w:spacing w:lineRule="auto" w:line="240" w:before="0" w:after="0"/>
              <w:jc w:val="center"/>
              <w:rPr>
                <w:rFonts w:cs="Arial"/>
                <w:b/>
                <w:b/>
              </w:rPr>
            </w:pPr>
            <w:r>
              <w:rPr>
                <w:rFonts w:cs="Arial"/>
                <w:b/>
              </w:rPr>
            </w:r>
          </w:p>
        </w:tc>
      </w:tr>
    </w:tbl>
    <w:p>
      <w:pPr>
        <w:pStyle w:val="Normal"/>
        <w:spacing w:lineRule="auto" w:line="276" w:beforeAutospacing="1" w:afterAutospacing="1"/>
        <w:jc w:val="center"/>
        <w:rPr>
          <w:rFonts w:eastAsia="Times New Roman" w:cs="Arial"/>
          <w:lang w:eastAsia="hr-HR"/>
        </w:rPr>
      </w:pPr>
      <w:r>
        <w:rPr>
          <w:rFonts w:eastAsia="Times New Roman" w:cs="Arial"/>
          <w:lang w:eastAsia="hr-HR"/>
        </w:rPr>
      </w:r>
    </w:p>
    <w:p>
      <w:pPr>
        <w:pStyle w:val="Heading1"/>
        <w:rPr/>
      </w:pPr>
      <w:bookmarkStart w:id="48" w:name="_Toc475347854"/>
      <w:bookmarkEnd w:id="48"/>
      <w:r>
        <w:rPr/>
        <w:t>12 ROKOVI I NOSITELJI IZVRŠENJA PLANA GOSPODARENJA OTPADOM</w:t>
      </w:r>
    </w:p>
    <w:p>
      <w:pPr>
        <w:pStyle w:val="Normal"/>
        <w:rPr/>
      </w:pPr>
      <w:r>
        <w:rPr/>
      </w:r>
    </w:p>
    <w:p>
      <w:pPr>
        <w:pStyle w:val="Normal"/>
        <w:jc w:val="center"/>
        <w:rPr>
          <w:i/>
          <w:i/>
        </w:rPr>
      </w:pPr>
      <w:r>
        <w:rPr>
          <w:i/>
        </w:rPr>
        <w:t>Tablica 12.1 Rokovi i nositelji izvršenja</w:t>
      </w:r>
    </w:p>
    <w:tbl>
      <w:tblPr>
        <w:tblStyle w:val="TableGrid"/>
        <w:tblW w:w="9288" w:type="dxa"/>
        <w:jc w:val="left"/>
        <w:tblInd w:w="-20" w:type="dxa"/>
        <w:tblCellMar>
          <w:top w:w="0" w:type="dxa"/>
          <w:left w:w="88" w:type="dxa"/>
          <w:bottom w:w="0" w:type="dxa"/>
          <w:right w:w="108" w:type="dxa"/>
        </w:tblCellMar>
        <w:tblLook w:firstRow="1" w:noVBand="1" w:lastRow="0" w:firstColumn="1" w:lastColumn="0" w:noHBand="0" w:val="04a0"/>
      </w:tblPr>
      <w:tblGrid>
        <w:gridCol w:w="4219"/>
        <w:gridCol w:w="2693"/>
        <w:gridCol w:w="2376"/>
      </w:tblGrid>
      <w:tr>
        <w:trPr/>
        <w:tc>
          <w:tcPr>
            <w:tcW w:w="4219" w:type="dxa"/>
            <w:tcBorders/>
            <w:shd w:color="auto" w:fill="auto" w:val="pct15"/>
            <w:tcMar>
              <w:left w:w="88" w:type="dxa"/>
            </w:tcMar>
            <w:vAlign w:val="center"/>
          </w:tcPr>
          <w:p>
            <w:pPr>
              <w:pStyle w:val="Normal"/>
              <w:spacing w:lineRule="auto" w:line="240" w:before="0" w:after="0"/>
              <w:jc w:val="center"/>
              <w:rPr>
                <w:rFonts w:cs="Arial"/>
                <w:b/>
                <w:b/>
              </w:rPr>
            </w:pPr>
            <w:r>
              <w:rPr>
                <w:rFonts w:cs="Arial"/>
                <w:b/>
              </w:rPr>
            </w:r>
          </w:p>
          <w:p>
            <w:pPr>
              <w:pStyle w:val="Normal"/>
              <w:spacing w:lineRule="auto" w:line="240" w:before="0" w:after="0"/>
              <w:jc w:val="center"/>
              <w:rPr>
                <w:rFonts w:cs="Arial"/>
                <w:b/>
                <w:b/>
              </w:rPr>
            </w:pPr>
            <w:r>
              <w:rPr>
                <w:rFonts w:cs="Arial"/>
                <w:b/>
              </w:rPr>
              <w:t>Plan</w:t>
            </w:r>
          </w:p>
          <w:p>
            <w:pPr>
              <w:pStyle w:val="Normal"/>
              <w:spacing w:lineRule="auto" w:line="240" w:before="0" w:after="0"/>
              <w:jc w:val="center"/>
              <w:rPr>
                <w:rFonts w:cs="Arial"/>
                <w:b/>
                <w:b/>
              </w:rPr>
            </w:pPr>
            <w:r>
              <w:rPr>
                <w:rFonts w:cs="Arial"/>
                <w:b/>
              </w:rPr>
            </w:r>
          </w:p>
        </w:tc>
        <w:tc>
          <w:tcPr>
            <w:tcW w:w="2693" w:type="dxa"/>
            <w:tcBorders/>
            <w:shd w:color="auto" w:fill="auto" w:val="pct15"/>
            <w:tcMar>
              <w:left w:w="88" w:type="dxa"/>
            </w:tcMar>
            <w:vAlign w:val="center"/>
          </w:tcPr>
          <w:p>
            <w:pPr>
              <w:pStyle w:val="Normal"/>
              <w:spacing w:lineRule="auto" w:line="240" w:before="0" w:after="0"/>
              <w:jc w:val="center"/>
              <w:rPr>
                <w:rFonts w:cs="Arial"/>
                <w:b/>
                <w:b/>
              </w:rPr>
            </w:pPr>
            <w:r>
              <w:rPr>
                <w:rFonts w:cs="Arial"/>
                <w:b/>
              </w:rPr>
              <w:t>Rok</w:t>
            </w:r>
          </w:p>
        </w:tc>
        <w:tc>
          <w:tcPr>
            <w:tcW w:w="2376" w:type="dxa"/>
            <w:tcBorders/>
            <w:shd w:color="auto" w:fill="auto" w:val="pct15"/>
            <w:tcMar>
              <w:left w:w="88" w:type="dxa"/>
            </w:tcMar>
            <w:vAlign w:val="center"/>
          </w:tcPr>
          <w:p>
            <w:pPr>
              <w:pStyle w:val="Normal"/>
              <w:spacing w:lineRule="auto" w:line="240" w:before="0" w:after="0"/>
              <w:jc w:val="center"/>
              <w:rPr>
                <w:rFonts w:cs="Arial"/>
                <w:b/>
                <w:b/>
              </w:rPr>
            </w:pPr>
            <w:r>
              <w:rPr>
                <w:rFonts w:cs="Arial"/>
                <w:b/>
              </w:rPr>
              <w:t>Izvršitelj</w:t>
            </w:r>
          </w:p>
        </w:tc>
      </w:tr>
      <w:tr>
        <w:trPr/>
        <w:tc>
          <w:tcPr>
            <w:tcW w:w="4219"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rFonts w:cs="Arial"/>
              </w:rPr>
            </w:pPr>
            <w:r>
              <w:rPr>
                <w:rFonts w:cs="Arial"/>
              </w:rPr>
              <w:t xml:space="preserve">Izrada projektne dokumentacije za izgradnju </w:t>
            </w:r>
            <w:r>
              <w:rPr>
                <w:rFonts w:cs="Arial"/>
              </w:rPr>
              <w:t xml:space="preserve">mobilnog </w:t>
            </w:r>
            <w:r>
              <w:rPr>
                <w:rFonts w:cs="Arial"/>
              </w:rPr>
              <w:t>reciklažnog dvorišta</w:t>
            </w:r>
          </w:p>
          <w:p>
            <w:pPr>
              <w:pStyle w:val="Normal"/>
              <w:spacing w:lineRule="auto" w:line="240" w:before="0" w:after="0"/>
              <w:jc w:val="center"/>
              <w:rPr>
                <w:rFonts w:cs="Arial"/>
              </w:rPr>
            </w:pPr>
            <w:r>
              <w:rPr>
                <w:rFonts w:cs="Arial"/>
              </w:rPr>
            </w:r>
          </w:p>
        </w:tc>
        <w:tc>
          <w:tcPr>
            <w:tcW w:w="2693" w:type="dxa"/>
            <w:tcBorders/>
            <w:shd w:fill="auto" w:val="clear"/>
            <w:tcMar>
              <w:left w:w="88" w:type="dxa"/>
            </w:tcMar>
            <w:vAlign w:val="center"/>
          </w:tcPr>
          <w:p>
            <w:pPr>
              <w:pStyle w:val="Normal"/>
              <w:spacing w:lineRule="auto" w:line="240" w:before="0" w:after="0"/>
              <w:jc w:val="center"/>
              <w:rPr>
                <w:rFonts w:cs="Arial"/>
              </w:rPr>
            </w:pPr>
            <w:r>
              <w:rPr>
                <w:rFonts w:cs="Arial"/>
              </w:rPr>
              <w:t>31.12.2017.</w:t>
            </w:r>
          </w:p>
        </w:tc>
        <w:tc>
          <w:tcPr>
            <w:tcW w:w="2376" w:type="dxa"/>
            <w:tcBorders/>
            <w:shd w:fill="auto" w:val="clear"/>
            <w:tcMar>
              <w:left w:w="88" w:type="dxa"/>
            </w:tcMar>
            <w:vAlign w:val="center"/>
          </w:tcPr>
          <w:p>
            <w:pPr>
              <w:pStyle w:val="Normal"/>
              <w:spacing w:lineRule="auto" w:line="240" w:before="0" w:after="0"/>
              <w:jc w:val="center"/>
              <w:rPr>
                <w:rFonts w:cs="Arial"/>
              </w:rPr>
            </w:pPr>
            <w:r>
              <w:rPr>
                <w:rFonts w:cs="Arial"/>
              </w:rPr>
              <w:t>JLS</w:t>
            </w:r>
          </w:p>
        </w:tc>
      </w:tr>
      <w:tr>
        <w:trPr/>
        <w:tc>
          <w:tcPr>
            <w:tcW w:w="4219"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rFonts w:cs="Arial"/>
              </w:rPr>
            </w:pPr>
            <w:r>
              <w:rPr>
                <w:rFonts w:cs="Arial"/>
              </w:rPr>
              <w:t xml:space="preserve">Izgradnja </w:t>
            </w:r>
            <w:r>
              <w:rPr>
                <w:rFonts w:cs="Arial"/>
              </w:rPr>
              <w:t xml:space="preserve">mobilnog </w:t>
            </w:r>
            <w:r>
              <w:rPr>
                <w:rFonts w:cs="Arial"/>
              </w:rPr>
              <w:t>reciklažnog dvorišta</w:t>
            </w:r>
          </w:p>
          <w:p>
            <w:pPr>
              <w:pStyle w:val="Normal"/>
              <w:spacing w:lineRule="auto" w:line="240" w:before="0" w:after="0"/>
              <w:jc w:val="center"/>
              <w:rPr>
                <w:rFonts w:cs="Arial"/>
              </w:rPr>
            </w:pPr>
            <w:r>
              <w:rPr>
                <w:rFonts w:cs="Arial"/>
              </w:rPr>
            </w:r>
          </w:p>
        </w:tc>
        <w:tc>
          <w:tcPr>
            <w:tcW w:w="2693" w:type="dxa"/>
            <w:tcBorders/>
            <w:shd w:fill="auto" w:val="clear"/>
            <w:tcMar>
              <w:left w:w="88" w:type="dxa"/>
            </w:tcMar>
            <w:vAlign w:val="center"/>
          </w:tcPr>
          <w:p>
            <w:pPr>
              <w:pStyle w:val="Normal"/>
              <w:spacing w:lineRule="auto" w:line="240" w:before="0" w:after="0"/>
              <w:jc w:val="center"/>
              <w:rPr>
                <w:rFonts w:cs="Arial"/>
              </w:rPr>
            </w:pPr>
            <w:r>
              <w:rPr>
                <w:rFonts w:cs="Arial"/>
              </w:rPr>
              <w:t>31.12.2018.</w:t>
            </w:r>
          </w:p>
        </w:tc>
        <w:tc>
          <w:tcPr>
            <w:tcW w:w="2376" w:type="dxa"/>
            <w:tcBorders/>
            <w:shd w:fill="auto" w:val="clear"/>
            <w:tcMar>
              <w:left w:w="88" w:type="dxa"/>
            </w:tcMar>
            <w:vAlign w:val="center"/>
          </w:tcPr>
          <w:p>
            <w:pPr>
              <w:pStyle w:val="Normal"/>
              <w:spacing w:lineRule="auto" w:line="240" w:before="0" w:after="0"/>
              <w:jc w:val="center"/>
              <w:rPr>
                <w:rFonts w:cs="Arial"/>
              </w:rPr>
            </w:pPr>
            <w:r>
              <w:rPr>
                <w:rFonts w:cs="Arial"/>
              </w:rPr>
              <w:t>JLS</w:t>
            </w:r>
          </w:p>
        </w:tc>
      </w:tr>
      <w:tr>
        <w:trPr/>
        <w:tc>
          <w:tcPr>
            <w:tcW w:w="4219"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rFonts w:cs="Arial"/>
              </w:rPr>
            </w:pPr>
            <w:r>
              <w:rPr>
                <w:rFonts w:cs="Arial"/>
              </w:rPr>
              <w:t xml:space="preserve">Nabavka opreme za </w:t>
            </w:r>
            <w:r>
              <w:rPr>
                <w:rFonts w:cs="Arial"/>
              </w:rPr>
              <w:t xml:space="preserve">mobilno </w:t>
            </w:r>
            <w:r>
              <w:rPr>
                <w:rFonts w:cs="Arial"/>
              </w:rPr>
              <w:t>reciklažno dvorište</w:t>
            </w:r>
          </w:p>
          <w:p>
            <w:pPr>
              <w:pStyle w:val="Normal"/>
              <w:spacing w:lineRule="auto" w:line="240" w:before="0" w:after="0"/>
              <w:jc w:val="center"/>
              <w:rPr>
                <w:rFonts w:cs="Arial"/>
              </w:rPr>
            </w:pPr>
            <w:r>
              <w:rPr>
                <w:rFonts w:cs="Arial"/>
              </w:rPr>
            </w:r>
          </w:p>
        </w:tc>
        <w:tc>
          <w:tcPr>
            <w:tcW w:w="2693" w:type="dxa"/>
            <w:tcBorders/>
            <w:shd w:fill="auto" w:val="clear"/>
            <w:tcMar>
              <w:left w:w="88" w:type="dxa"/>
            </w:tcMar>
            <w:vAlign w:val="center"/>
          </w:tcPr>
          <w:p>
            <w:pPr>
              <w:pStyle w:val="Normal"/>
              <w:spacing w:lineRule="auto" w:line="240" w:before="0" w:after="0"/>
              <w:jc w:val="center"/>
              <w:rPr>
                <w:rFonts w:cs="Arial"/>
              </w:rPr>
            </w:pPr>
            <w:r>
              <w:rPr>
                <w:rFonts w:cs="Arial"/>
              </w:rPr>
              <w:t>31.12.2018.</w:t>
            </w:r>
          </w:p>
        </w:tc>
        <w:tc>
          <w:tcPr>
            <w:tcW w:w="2376" w:type="dxa"/>
            <w:tcBorders/>
            <w:shd w:fill="auto" w:val="clear"/>
            <w:tcMar>
              <w:left w:w="88" w:type="dxa"/>
            </w:tcMar>
            <w:vAlign w:val="center"/>
          </w:tcPr>
          <w:p>
            <w:pPr>
              <w:pStyle w:val="Normal"/>
              <w:spacing w:lineRule="auto" w:line="240" w:before="0" w:after="0"/>
              <w:jc w:val="center"/>
              <w:rPr>
                <w:rFonts w:cs="Arial"/>
              </w:rPr>
            </w:pPr>
            <w:r>
              <w:rPr>
                <w:rFonts w:cs="Arial"/>
              </w:rPr>
              <w:t>JLS</w:t>
            </w:r>
          </w:p>
        </w:tc>
      </w:tr>
      <w:tr>
        <w:trPr/>
        <w:tc>
          <w:tcPr>
            <w:tcW w:w="4219"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rFonts w:cs="Arial"/>
              </w:rPr>
            </w:pPr>
            <w:r>
              <w:rPr>
                <w:rFonts w:cs="Arial"/>
              </w:rPr>
              <w:t>Nabavka kompostera</w:t>
            </w:r>
          </w:p>
          <w:p>
            <w:pPr>
              <w:pStyle w:val="Normal"/>
              <w:spacing w:lineRule="auto" w:line="240" w:before="0" w:after="0"/>
              <w:jc w:val="center"/>
              <w:rPr>
                <w:rFonts w:cs="Arial"/>
              </w:rPr>
            </w:pPr>
            <w:r>
              <w:rPr>
                <w:rFonts w:cs="Arial"/>
              </w:rPr>
            </w:r>
          </w:p>
        </w:tc>
        <w:tc>
          <w:tcPr>
            <w:tcW w:w="2693" w:type="dxa"/>
            <w:tcBorders/>
            <w:shd w:fill="auto" w:val="clear"/>
            <w:tcMar>
              <w:left w:w="88" w:type="dxa"/>
            </w:tcMar>
            <w:vAlign w:val="center"/>
          </w:tcPr>
          <w:p>
            <w:pPr>
              <w:pStyle w:val="Normal"/>
              <w:spacing w:lineRule="auto" w:line="240" w:before="0" w:after="0"/>
              <w:jc w:val="center"/>
              <w:rPr/>
            </w:pPr>
            <w:r>
              <w:rPr>
                <w:rFonts w:cs="Arial"/>
              </w:rPr>
              <w:t>31.12.201</w:t>
            </w:r>
            <w:r>
              <w:rPr>
                <w:rFonts w:cs="Arial"/>
              </w:rPr>
              <w:t>8</w:t>
            </w:r>
            <w:r>
              <w:rPr>
                <w:rFonts w:cs="Arial"/>
              </w:rPr>
              <w:t>.</w:t>
            </w:r>
          </w:p>
        </w:tc>
        <w:tc>
          <w:tcPr>
            <w:tcW w:w="2376" w:type="dxa"/>
            <w:tcBorders/>
            <w:shd w:fill="auto" w:val="clear"/>
            <w:tcMar>
              <w:left w:w="88" w:type="dxa"/>
            </w:tcMar>
            <w:vAlign w:val="center"/>
          </w:tcPr>
          <w:p>
            <w:pPr>
              <w:pStyle w:val="Normal"/>
              <w:spacing w:lineRule="auto" w:line="240" w:before="0" w:after="0"/>
              <w:jc w:val="center"/>
              <w:rPr>
                <w:rFonts w:cs="Arial"/>
              </w:rPr>
            </w:pPr>
            <w:r>
              <w:rPr>
                <w:rFonts w:cs="Arial"/>
              </w:rPr>
              <w:t>JLS</w:t>
            </w:r>
          </w:p>
        </w:tc>
      </w:tr>
      <w:tr>
        <w:trPr/>
        <w:tc>
          <w:tcPr>
            <w:tcW w:w="4219" w:type="dxa"/>
            <w:tcBorders/>
            <w:shd w:fill="auto" w:val="clear"/>
            <w:tcMar>
              <w:left w:w="88" w:type="dxa"/>
            </w:tcMar>
            <w:vAlign w:val="center"/>
          </w:tcPr>
          <w:p>
            <w:pPr>
              <w:pStyle w:val="Normal"/>
              <w:spacing w:lineRule="auto" w:line="240" w:before="0" w:after="0"/>
              <w:jc w:val="center"/>
              <w:rPr>
                <w:rFonts w:cs="Arial"/>
              </w:rPr>
            </w:pPr>
            <w:r>
              <w:rPr>
                <w:rFonts w:cs="Arial"/>
              </w:rPr>
            </w:r>
          </w:p>
          <w:p>
            <w:pPr>
              <w:pStyle w:val="Normal"/>
              <w:spacing w:lineRule="auto" w:line="240" w:before="0" w:after="0"/>
              <w:jc w:val="center"/>
              <w:rPr>
                <w:rFonts w:cs="Arial"/>
              </w:rPr>
            </w:pPr>
            <w:r>
              <w:rPr>
                <w:rFonts w:cs="Arial"/>
              </w:rPr>
              <w:t>Izobrazno-informativne aktivnosti</w:t>
            </w:r>
          </w:p>
          <w:p>
            <w:pPr>
              <w:pStyle w:val="Normal"/>
              <w:spacing w:lineRule="auto" w:line="240" w:before="0" w:after="0"/>
              <w:jc w:val="center"/>
              <w:rPr>
                <w:rFonts w:cs="Arial"/>
              </w:rPr>
            </w:pPr>
            <w:r>
              <w:rPr>
                <w:rFonts w:cs="Arial"/>
              </w:rPr>
            </w:r>
          </w:p>
        </w:tc>
        <w:tc>
          <w:tcPr>
            <w:tcW w:w="2693" w:type="dxa"/>
            <w:tcBorders/>
            <w:shd w:fill="auto" w:val="clear"/>
            <w:tcMar>
              <w:left w:w="88" w:type="dxa"/>
            </w:tcMar>
            <w:vAlign w:val="center"/>
          </w:tcPr>
          <w:p>
            <w:pPr>
              <w:pStyle w:val="Normal"/>
              <w:spacing w:lineRule="auto" w:line="240" w:before="0" w:after="0"/>
              <w:jc w:val="center"/>
              <w:rPr>
                <w:rFonts w:cs="Arial"/>
              </w:rPr>
            </w:pPr>
            <w:r>
              <w:rPr>
                <w:rFonts w:cs="Arial"/>
              </w:rPr>
              <w:t>2017.-2022.</w:t>
            </w:r>
          </w:p>
        </w:tc>
        <w:tc>
          <w:tcPr>
            <w:tcW w:w="2376" w:type="dxa"/>
            <w:tcBorders/>
            <w:shd w:fill="auto" w:val="clear"/>
            <w:tcMar>
              <w:left w:w="88" w:type="dxa"/>
            </w:tcMar>
            <w:vAlign w:val="center"/>
          </w:tcPr>
          <w:p>
            <w:pPr>
              <w:pStyle w:val="Normal"/>
              <w:spacing w:lineRule="auto" w:line="240" w:before="0" w:after="0"/>
              <w:jc w:val="center"/>
              <w:rPr>
                <w:rFonts w:cs="Arial"/>
              </w:rPr>
            </w:pPr>
            <w:r>
              <w:rPr>
                <w:rFonts w:cs="Arial"/>
              </w:rPr>
              <w:t>JLS</w:t>
            </w:r>
          </w:p>
        </w:tc>
      </w:tr>
    </w:tbl>
    <w:p>
      <w:pPr>
        <w:pStyle w:val="Normal"/>
        <w:jc w:val="center"/>
        <w:rPr/>
      </w:pPr>
      <w:r>
        <w:rPr/>
      </w:r>
    </w:p>
    <w:p>
      <w:pPr>
        <w:pStyle w:val="Normal"/>
        <w:spacing w:lineRule="auto" w:line="276"/>
        <w:rPr/>
      </w:pPr>
      <w:r>
        <w:rPr/>
      </w:r>
    </w:p>
    <w:p>
      <w:pPr>
        <w:pStyle w:val="Normal"/>
        <w:spacing w:lineRule="auto" w:line="276"/>
        <w:rPr/>
      </w:pPr>
      <w:r>
        <w:rPr/>
        <w:t xml:space="preserve">Nositelj izvršenja plana je Općina </w:t>
      </w:r>
      <w:r>
        <w:rPr/>
        <w:t>Dragalić</w:t>
      </w:r>
      <w:r>
        <w:rPr/>
        <w:t xml:space="preserve">. Veći dio planiranih projekata i aktivnosti izvršit će se u suradnji s Fondom za zaštitu okoliša i energetsku učinkovitost: </w:t>
      </w:r>
    </w:p>
    <w:p>
      <w:pPr>
        <w:pStyle w:val="Normal"/>
        <w:numPr>
          <w:ilvl w:val="0"/>
          <w:numId w:val="4"/>
        </w:numPr>
        <w:spacing w:lineRule="auto" w:line="276" w:before="0" w:after="0"/>
        <w:rPr/>
      </w:pPr>
      <w:r>
        <w:rPr>
          <w:rFonts w:cs="Arial"/>
        </w:rPr>
        <w:t xml:space="preserve">izrada projektne dokumentacije za potrebe izgradnje reciklažnog dvorišta (Fond plaća 100%), </w:t>
      </w:r>
    </w:p>
    <w:p>
      <w:pPr>
        <w:pStyle w:val="Normal"/>
        <w:spacing w:lineRule="auto" w:line="276" w:before="0" w:after="0"/>
        <w:ind w:left="720" w:hanging="0"/>
        <w:rPr/>
      </w:pPr>
      <w:r>
        <w:rPr/>
      </w:r>
    </w:p>
    <w:p>
      <w:pPr>
        <w:pStyle w:val="Normal"/>
        <w:numPr>
          <w:ilvl w:val="0"/>
          <w:numId w:val="4"/>
        </w:numPr>
        <w:spacing w:lineRule="auto" w:line="276" w:before="0" w:after="0"/>
        <w:rPr/>
      </w:pPr>
      <w:r>
        <w:rPr>
          <w:rFonts w:cs="Arial"/>
        </w:rPr>
        <w:t>izgradnja i opremanje reciklažnog dvorišta - 80% sufinancira Fond, 20% JLS koje su sklopile sporazum,</w:t>
      </w:r>
    </w:p>
    <w:p>
      <w:pPr>
        <w:pStyle w:val="Normal"/>
        <w:spacing w:lineRule="auto" w:line="276" w:before="0" w:after="0"/>
        <w:ind w:left="720" w:hanging="0"/>
        <w:rPr/>
      </w:pPr>
      <w:r>
        <w:rPr/>
      </w:r>
    </w:p>
    <w:p>
      <w:pPr>
        <w:pStyle w:val="Normal"/>
        <w:numPr>
          <w:ilvl w:val="0"/>
          <w:numId w:val="4"/>
        </w:numPr>
        <w:spacing w:lineRule="auto" w:line="276" w:before="0" w:after="0"/>
        <w:rPr/>
      </w:pPr>
      <w:r>
        <w:rPr>
          <w:rFonts w:cs="Arial"/>
        </w:rPr>
        <w:t>kupnja komunalne opreme - 40% Fond, 60% JLS.</w:t>
      </w:r>
    </w:p>
    <w:p>
      <w:pPr>
        <w:pStyle w:val="Normal"/>
        <w:spacing w:lineRule="auto" w:line="276" w:before="0" w:after="0"/>
        <w:ind w:left="720" w:hanging="0"/>
        <w:rPr/>
      </w:pPr>
      <w:r>
        <w:rPr/>
      </w:r>
    </w:p>
    <w:p>
      <w:pPr>
        <w:pStyle w:val="Normal"/>
        <w:spacing w:lineRule="auto" w:line="276"/>
        <w:rPr>
          <w:rFonts w:cs="Arial"/>
        </w:rPr>
      </w:pPr>
      <w:r>
        <w:rPr>
          <w:rFonts w:cs="Arial"/>
        </w:rPr>
        <w:t>Svi projekti i aktivnosti planirani su za izvršenje do kraja 2018. godine, a ukoliko pojedini projekt ili aktivnost ne bude realiziran, rok izvršenja prenijet će se u narednu godinu.</w:t>
      </w:r>
    </w:p>
    <w:p>
      <w:pPr>
        <w:pStyle w:val="Normal"/>
        <w:spacing w:lineRule="auto" w:line="276"/>
        <w:rPr>
          <w:rFonts w:cs="Arial"/>
        </w:rPr>
      </w:pPr>
      <w:r>
        <w:rPr>
          <w:rFonts w:cs="Arial"/>
        </w:rPr>
      </w:r>
    </w:p>
    <w:p>
      <w:pPr>
        <w:pStyle w:val="Normal"/>
        <w:spacing w:lineRule="auto" w:line="276"/>
        <w:rPr>
          <w:rFonts w:cs="Arial"/>
        </w:rPr>
      </w:pPr>
      <w:r>
        <w:rPr>
          <w:rFonts w:cs="Arial"/>
        </w:rPr>
      </w:r>
    </w:p>
    <w:p>
      <w:pPr>
        <w:pStyle w:val="Normal"/>
        <w:spacing w:lineRule="auto" w:line="276"/>
        <w:rPr>
          <w:rFonts w:cs="Arial"/>
        </w:rPr>
      </w:pPr>
      <w:r>
        <w:rPr>
          <w:rFonts w:cs="Arial"/>
        </w:rPr>
      </w:r>
    </w:p>
    <w:p>
      <w:pPr>
        <w:pStyle w:val="Normal"/>
        <w:spacing w:lineRule="auto" w:line="276"/>
        <w:rPr>
          <w:rFonts w:cs="Arial"/>
        </w:rPr>
      </w:pPr>
      <w:r>
        <w:rPr>
          <w:rFonts w:cs="Arial"/>
        </w:rPr>
      </w:r>
    </w:p>
    <w:p>
      <w:pPr>
        <w:pStyle w:val="Normal"/>
        <w:spacing w:lineRule="auto" w:line="276"/>
        <w:rPr>
          <w:rFonts w:cs="Arial"/>
        </w:rPr>
      </w:pPr>
      <w:r>
        <w:rPr>
          <w:rFonts w:cs="Arial"/>
        </w:rPr>
      </w:r>
    </w:p>
    <w:p>
      <w:pPr>
        <w:pStyle w:val="Heading1"/>
        <w:rPr/>
      </w:pPr>
      <w:bookmarkStart w:id="49" w:name="_Toc475347855"/>
      <w:bookmarkEnd w:id="49"/>
      <w:r>
        <w:rPr/>
        <w:t>13 POPIS ZAKONA I PRAVILNIKA</w:t>
      </w:r>
    </w:p>
    <w:p>
      <w:pPr>
        <w:pStyle w:val="Normal"/>
        <w:spacing w:before="0" w:after="240"/>
        <w:rPr>
          <w:rStyle w:val="Strong"/>
          <w:b w:val="false"/>
          <w:b w:val="false"/>
          <w:bCs w:val="false"/>
        </w:rPr>
      </w:pPr>
      <w:r>
        <w:rPr>
          <w:b w:val="false"/>
          <w:bCs w:val="false"/>
        </w:rPr>
      </w:r>
    </w:p>
    <w:p>
      <w:pPr>
        <w:pStyle w:val="Normal"/>
        <w:numPr>
          <w:ilvl w:val="0"/>
          <w:numId w:val="5"/>
        </w:numPr>
        <w:spacing w:before="0" w:after="240"/>
        <w:ind w:left="0" w:hanging="360"/>
        <w:jc w:val="left"/>
        <w:rPr/>
      </w:pPr>
      <w:r>
        <w:rPr>
          <w:rStyle w:val="Strong"/>
          <w:rFonts w:cs="Arial"/>
          <w:color w:val="333333"/>
        </w:rPr>
        <w:t>Plan gospodarenja otpadom u Republici Hrvatskoj za razdoblje 2017.-2022. godine</w:t>
      </w:r>
      <w:r>
        <w:rPr>
          <w:rFonts w:cs="Arial"/>
          <w:b/>
          <w:bCs/>
          <w:color w:val="333333"/>
        </w:rPr>
        <w:br/>
      </w:r>
      <w:r>
        <w:rPr>
          <w:rFonts w:cs="Arial"/>
          <w:color w:val="333333"/>
        </w:rPr>
        <w:t>Narodne novine</w:t>
      </w:r>
      <w:hyperlink r:id="rId13">
        <w:r>
          <w:rPr>
            <w:webHidden/>
            <w:rStyle w:val="InternetLink"/>
            <w:rFonts w:cs="Arial"/>
            <w:vanish/>
            <w:u w:val="none"/>
          </w:rPr>
          <w:t xml:space="preserve"> </w:t>
        </w:r>
        <w:r>
          <w:rPr>
            <w:rStyle w:val="InternetLink"/>
            <w:rFonts w:cs="Arial"/>
            <w:color w:val="00000A"/>
            <w:u w:val="none"/>
          </w:rPr>
          <w:t>03/17</w:t>
        </w:r>
      </w:hyperlink>
    </w:p>
    <w:p>
      <w:pPr>
        <w:pStyle w:val="Normal"/>
        <w:numPr>
          <w:ilvl w:val="0"/>
          <w:numId w:val="6"/>
        </w:numPr>
        <w:spacing w:before="0" w:after="240"/>
        <w:ind w:left="0" w:hanging="360"/>
        <w:jc w:val="left"/>
        <w:rPr/>
      </w:pPr>
      <w:r>
        <w:rPr>
          <w:rFonts w:eastAsia="Times New Roman" w:cs="Arial"/>
          <w:b/>
          <w:bCs/>
          <w:color w:val="333333"/>
          <w:lang w:eastAsia="hr-HR"/>
        </w:rPr>
        <w:t>Zakon o održivom gospodarenju otpadom</w:t>
        <w:br/>
      </w:r>
      <w:r>
        <w:rPr>
          <w:rFonts w:eastAsia="Times New Roman" w:cs="Arial"/>
          <w:color w:val="333333"/>
          <w:lang w:eastAsia="hr-HR"/>
        </w:rPr>
        <w:t xml:space="preserve">Narodne novine </w:t>
      </w:r>
      <w:hyperlink r:id="rId14">
        <w:r>
          <w:rPr>
            <w:webHidden/>
            <w:rStyle w:val="InternetLink"/>
            <w:rFonts w:eastAsia="Times New Roman" w:cs="Arial"/>
            <w:vanish/>
            <w:color w:val="333333"/>
            <w:lang w:eastAsia="hr-HR"/>
          </w:rPr>
          <w:t>94/13</w:t>
        </w:r>
      </w:hyperlink>
    </w:p>
    <w:p>
      <w:pPr>
        <w:pStyle w:val="Normal"/>
        <w:numPr>
          <w:ilvl w:val="0"/>
          <w:numId w:val="6"/>
        </w:numPr>
        <w:spacing w:before="0" w:after="240"/>
        <w:ind w:left="0" w:hanging="360"/>
        <w:jc w:val="left"/>
        <w:rPr/>
      </w:pPr>
      <w:r>
        <w:rPr>
          <w:rFonts w:eastAsia="Times New Roman" w:cs="Arial"/>
          <w:b/>
          <w:bCs/>
          <w:color w:val="333333"/>
          <w:lang w:eastAsia="hr-HR"/>
        </w:rPr>
        <w:t>Strategija gospodarenja otpadom Republike Hrvatske</w:t>
        <w:br/>
      </w:r>
      <w:r>
        <w:rPr>
          <w:rFonts w:eastAsia="Times New Roman" w:cs="Arial"/>
          <w:color w:val="333333"/>
          <w:lang w:eastAsia="hr-HR"/>
        </w:rPr>
        <w:t xml:space="preserve">Narodne novine </w:t>
      </w:r>
      <w:hyperlink r:id="rId15">
        <w:r>
          <w:rPr>
            <w:webHidden/>
            <w:rStyle w:val="InternetLink"/>
            <w:rFonts w:eastAsia="Times New Roman" w:cs="Arial"/>
            <w:vanish/>
            <w:color w:val="333333"/>
            <w:lang w:eastAsia="hr-HR"/>
          </w:rPr>
          <w:t>130/05</w:t>
        </w:r>
      </w:hyperlink>
    </w:p>
    <w:p>
      <w:pPr>
        <w:pStyle w:val="Normal"/>
        <w:numPr>
          <w:ilvl w:val="0"/>
          <w:numId w:val="6"/>
        </w:numPr>
        <w:spacing w:before="0" w:after="240"/>
        <w:ind w:left="0" w:hanging="360"/>
        <w:jc w:val="left"/>
        <w:rPr/>
      </w:pPr>
      <w:r>
        <w:rPr>
          <w:rFonts w:eastAsia="Times New Roman" w:cs="Arial"/>
          <w:b/>
          <w:bCs/>
          <w:color w:val="333333"/>
          <w:lang w:eastAsia="hr-HR"/>
        </w:rPr>
        <w:t>Pravilnik o gospodarenju otpadnim gumama</w:t>
        <w:br/>
      </w:r>
      <w:r>
        <w:rPr>
          <w:rFonts w:eastAsia="Times New Roman" w:cs="Arial"/>
          <w:color w:val="333333"/>
          <w:lang w:eastAsia="hr-HR"/>
        </w:rPr>
        <w:t xml:space="preserve">Narodne novine </w:t>
      </w:r>
      <w:hyperlink r:id="rId16">
        <w:r>
          <w:rPr>
            <w:webHidden/>
            <w:rStyle w:val="InternetLink"/>
            <w:rFonts w:eastAsia="Times New Roman" w:cs="Arial"/>
            <w:vanish/>
            <w:color w:val="333333"/>
            <w:lang w:eastAsia="hr-HR"/>
          </w:rPr>
          <w:t>40/06</w:t>
        </w:r>
      </w:hyperlink>
      <w:r>
        <w:rPr>
          <w:rFonts w:eastAsia="Times New Roman" w:cs="Arial"/>
          <w:color w:val="333333"/>
          <w:lang w:eastAsia="hr-HR"/>
        </w:rPr>
        <w:t xml:space="preserve">, </w:t>
      </w:r>
      <w:hyperlink r:id="rId17">
        <w:r>
          <w:rPr>
            <w:webHidden/>
            <w:rStyle w:val="InternetLink"/>
            <w:rFonts w:eastAsia="Times New Roman" w:cs="Arial"/>
            <w:vanish/>
            <w:color w:val="333333"/>
            <w:lang w:eastAsia="hr-HR"/>
          </w:rPr>
          <w:t>31/09</w:t>
        </w:r>
      </w:hyperlink>
      <w:r>
        <w:rPr>
          <w:rFonts w:eastAsia="Times New Roman" w:cs="Arial"/>
          <w:color w:val="333333"/>
          <w:lang w:eastAsia="hr-HR"/>
        </w:rPr>
        <w:t xml:space="preserve">, </w:t>
      </w:r>
      <w:hyperlink r:id="rId18">
        <w:r>
          <w:rPr>
            <w:webHidden/>
            <w:rStyle w:val="InternetLink"/>
            <w:rFonts w:eastAsia="Times New Roman" w:cs="Arial"/>
            <w:vanish/>
            <w:color w:val="333333"/>
            <w:lang w:eastAsia="hr-HR"/>
          </w:rPr>
          <w:t>156/09</w:t>
        </w:r>
      </w:hyperlink>
      <w:r>
        <w:rPr>
          <w:rFonts w:eastAsia="Times New Roman" w:cs="Arial"/>
          <w:color w:val="333333"/>
          <w:lang w:eastAsia="hr-HR"/>
        </w:rPr>
        <w:t xml:space="preserve">, </w:t>
      </w:r>
      <w:hyperlink r:id="rId19">
        <w:r>
          <w:rPr>
            <w:webHidden/>
            <w:rStyle w:val="InternetLink"/>
            <w:rFonts w:eastAsia="Times New Roman" w:cs="Arial"/>
            <w:vanish/>
            <w:color w:val="333333"/>
            <w:lang w:eastAsia="hr-HR"/>
          </w:rPr>
          <w:t>111/11</w:t>
        </w:r>
      </w:hyperlink>
      <w:r>
        <w:rPr>
          <w:rFonts w:eastAsia="Times New Roman" w:cs="Arial"/>
          <w:color w:val="333333"/>
          <w:lang w:eastAsia="hr-HR"/>
        </w:rPr>
        <w:t xml:space="preserve">, </w:t>
      </w:r>
      <w:hyperlink r:id="rId20">
        <w:r>
          <w:rPr>
            <w:webHidden/>
            <w:rStyle w:val="InternetLink"/>
            <w:rFonts w:eastAsia="Times New Roman" w:cs="Arial"/>
            <w:vanish/>
            <w:color w:val="333333"/>
            <w:lang w:eastAsia="hr-HR"/>
          </w:rPr>
          <w:t>86/13</w:t>
        </w:r>
      </w:hyperlink>
    </w:p>
    <w:p>
      <w:pPr>
        <w:pStyle w:val="Normal"/>
        <w:numPr>
          <w:ilvl w:val="0"/>
          <w:numId w:val="6"/>
        </w:numPr>
        <w:spacing w:before="0" w:after="240"/>
        <w:ind w:left="0" w:hanging="360"/>
        <w:jc w:val="left"/>
        <w:rPr/>
      </w:pPr>
      <w:r>
        <w:rPr>
          <w:rFonts w:eastAsia="Times New Roman" w:cs="Arial"/>
          <w:b/>
          <w:bCs/>
          <w:color w:val="333333"/>
          <w:lang w:eastAsia="hr-HR"/>
        </w:rPr>
        <w:t>Odluka o izmjenama naknada u sustavima gospodarenja otpadnim vozilima i otpadnim gumama</w:t>
      </w:r>
      <w:r>
        <w:rPr>
          <w:rFonts w:eastAsia="Times New Roman" w:cs="Arial"/>
          <w:color w:val="333333"/>
          <w:u w:val="single"/>
          <w:lang w:eastAsia="hr-HR"/>
        </w:rPr>
        <w:br/>
      </w:r>
      <w:r>
        <w:rPr>
          <w:rFonts w:eastAsia="Times New Roman" w:cs="Arial"/>
          <w:color w:val="333333"/>
          <w:lang w:eastAsia="hr-HR"/>
        </w:rPr>
        <w:t xml:space="preserve">Narodne novine </w:t>
      </w:r>
      <w:hyperlink r:id="rId21">
        <w:r>
          <w:rPr>
            <w:webHidden/>
            <w:rStyle w:val="InternetLink"/>
            <w:rFonts w:eastAsia="Times New Roman" w:cs="Arial"/>
            <w:vanish/>
            <w:color w:val="333333"/>
            <w:lang w:eastAsia="hr-HR"/>
          </w:rPr>
          <w:t>40/15</w:t>
        </w:r>
      </w:hyperlink>
    </w:p>
    <w:p>
      <w:pPr>
        <w:pStyle w:val="Normal"/>
        <w:numPr>
          <w:ilvl w:val="0"/>
          <w:numId w:val="6"/>
        </w:numPr>
        <w:spacing w:before="0" w:after="240"/>
        <w:ind w:left="0" w:hanging="360"/>
        <w:jc w:val="left"/>
        <w:rPr/>
      </w:pPr>
      <w:r>
        <w:rPr>
          <w:rFonts w:eastAsia="Times New Roman" w:cs="Arial"/>
          <w:b/>
          <w:bCs/>
          <w:color w:val="333333"/>
          <w:lang w:eastAsia="hr-HR"/>
        </w:rPr>
        <w:t>Pravilnik o mjerilima, postupku i načinu određivanja iznosa naknade vlasnicima nekretnina i jedinicama lokalne samouprave</w:t>
        <w:br/>
      </w:r>
      <w:r>
        <w:rPr>
          <w:rFonts w:eastAsia="Times New Roman" w:cs="Arial"/>
          <w:color w:val="333333"/>
          <w:lang w:eastAsia="hr-HR"/>
        </w:rPr>
        <w:t xml:space="preserve">Narodne novine </w:t>
      </w:r>
      <w:hyperlink r:id="rId22">
        <w:r>
          <w:rPr>
            <w:webHidden/>
            <w:rStyle w:val="InternetLink"/>
            <w:rFonts w:eastAsia="Times New Roman" w:cs="Arial"/>
            <w:vanish/>
            <w:color w:val="333333"/>
            <w:lang w:eastAsia="hr-HR"/>
          </w:rPr>
          <w:t>59/06</w:t>
        </w:r>
      </w:hyperlink>
      <w:r>
        <w:rPr>
          <w:rFonts w:eastAsia="Times New Roman" w:cs="Arial"/>
          <w:color w:val="333333"/>
          <w:lang w:eastAsia="hr-HR"/>
        </w:rPr>
        <w:t xml:space="preserve">, </w:t>
      </w:r>
      <w:hyperlink r:id="rId23">
        <w:r>
          <w:rPr>
            <w:webHidden/>
            <w:rStyle w:val="InternetLink"/>
            <w:rFonts w:eastAsia="Times New Roman" w:cs="Arial"/>
            <w:vanish/>
            <w:color w:val="333333"/>
            <w:lang w:eastAsia="hr-HR"/>
          </w:rPr>
          <w:t>109/12</w:t>
        </w:r>
      </w:hyperlink>
    </w:p>
    <w:p>
      <w:pPr>
        <w:pStyle w:val="Normal"/>
        <w:numPr>
          <w:ilvl w:val="0"/>
          <w:numId w:val="6"/>
        </w:numPr>
        <w:spacing w:before="0" w:after="240"/>
        <w:ind w:left="0" w:hanging="360"/>
        <w:jc w:val="left"/>
        <w:rPr/>
      </w:pPr>
      <w:r>
        <w:rPr>
          <w:rFonts w:eastAsia="Times New Roman" w:cs="Arial"/>
          <w:b/>
          <w:bCs/>
          <w:color w:val="333333"/>
          <w:lang w:eastAsia="hr-HR"/>
        </w:rPr>
        <w:t>Pravilnik o gospodarenju otpadnim uljima</w:t>
        <w:br/>
      </w:r>
      <w:r>
        <w:rPr>
          <w:rFonts w:eastAsia="Times New Roman" w:cs="Arial"/>
          <w:color w:val="333333"/>
          <w:lang w:eastAsia="hr-HR"/>
        </w:rPr>
        <w:t>Narodne novine</w:t>
      </w:r>
      <w:hyperlink r:id="rId24">
        <w:r>
          <w:rPr>
            <w:webHidden/>
            <w:rStyle w:val="InternetLink"/>
            <w:rFonts w:eastAsia="Times New Roman" w:cs="Arial"/>
            <w:vanish/>
            <w:color w:val="333333"/>
            <w:lang w:eastAsia="hr-HR"/>
          </w:rPr>
          <w:t xml:space="preserve"> 124/06</w:t>
        </w:r>
      </w:hyperlink>
      <w:r>
        <w:rPr>
          <w:rFonts w:eastAsia="Times New Roman" w:cs="Arial"/>
          <w:color w:val="333333"/>
          <w:lang w:eastAsia="hr-HR"/>
        </w:rPr>
        <w:t xml:space="preserve">, </w:t>
      </w:r>
      <w:hyperlink r:id="rId25">
        <w:r>
          <w:rPr>
            <w:webHidden/>
            <w:rStyle w:val="InternetLink"/>
            <w:rFonts w:eastAsia="Times New Roman" w:cs="Arial"/>
            <w:vanish/>
            <w:color w:val="333333"/>
            <w:lang w:eastAsia="hr-HR"/>
          </w:rPr>
          <w:t>121/08</w:t>
        </w:r>
      </w:hyperlink>
      <w:r>
        <w:rPr>
          <w:rFonts w:eastAsia="Times New Roman" w:cs="Arial"/>
          <w:color w:val="333333"/>
          <w:lang w:eastAsia="hr-HR"/>
        </w:rPr>
        <w:t xml:space="preserve">, </w:t>
      </w:r>
      <w:hyperlink r:id="rId26">
        <w:r>
          <w:rPr>
            <w:webHidden/>
            <w:rStyle w:val="InternetLink"/>
            <w:rFonts w:eastAsia="Times New Roman" w:cs="Arial"/>
            <w:vanish/>
            <w:color w:val="333333"/>
            <w:lang w:eastAsia="hr-HR"/>
          </w:rPr>
          <w:t>31/09</w:t>
        </w:r>
      </w:hyperlink>
      <w:r>
        <w:rPr>
          <w:rFonts w:eastAsia="Times New Roman" w:cs="Arial"/>
          <w:color w:val="333333"/>
          <w:lang w:eastAsia="hr-HR"/>
        </w:rPr>
        <w:t xml:space="preserve">, </w:t>
      </w:r>
      <w:hyperlink r:id="rId27">
        <w:r>
          <w:rPr>
            <w:webHidden/>
            <w:rStyle w:val="InternetLink"/>
            <w:rFonts w:eastAsia="Times New Roman" w:cs="Arial"/>
            <w:vanish/>
            <w:color w:val="333333"/>
            <w:lang w:eastAsia="hr-HR"/>
          </w:rPr>
          <w:t>156/09</w:t>
        </w:r>
      </w:hyperlink>
      <w:r>
        <w:rPr>
          <w:rFonts w:eastAsia="Times New Roman" w:cs="Arial"/>
          <w:color w:val="333333"/>
          <w:lang w:eastAsia="hr-HR"/>
        </w:rPr>
        <w:t xml:space="preserve">, </w:t>
      </w:r>
      <w:hyperlink r:id="rId28">
        <w:r>
          <w:rPr>
            <w:webHidden/>
            <w:rStyle w:val="InternetLink"/>
            <w:rFonts w:eastAsia="Times New Roman" w:cs="Arial"/>
            <w:vanish/>
            <w:color w:val="333333"/>
            <w:lang w:eastAsia="hr-HR"/>
          </w:rPr>
          <w:t>91/11</w:t>
        </w:r>
      </w:hyperlink>
      <w:r>
        <w:rPr>
          <w:rFonts w:eastAsia="Times New Roman" w:cs="Arial"/>
          <w:color w:val="333333"/>
          <w:lang w:eastAsia="hr-HR"/>
        </w:rPr>
        <w:t xml:space="preserve">, </w:t>
      </w:r>
      <w:hyperlink r:id="rId29">
        <w:r>
          <w:rPr>
            <w:webHidden/>
            <w:rStyle w:val="InternetLink"/>
            <w:rFonts w:eastAsia="Times New Roman" w:cs="Arial"/>
            <w:vanish/>
            <w:color w:val="333333"/>
            <w:lang w:eastAsia="hr-HR"/>
          </w:rPr>
          <w:t>45/12</w:t>
        </w:r>
      </w:hyperlink>
      <w:r>
        <w:rPr>
          <w:rFonts w:eastAsia="Times New Roman" w:cs="Arial"/>
          <w:color w:val="333333"/>
          <w:lang w:eastAsia="hr-HR"/>
        </w:rPr>
        <w:t xml:space="preserve">, </w:t>
      </w:r>
      <w:hyperlink r:id="rId30">
        <w:r>
          <w:rPr>
            <w:webHidden/>
            <w:rStyle w:val="InternetLink"/>
            <w:rFonts w:eastAsia="Times New Roman" w:cs="Arial"/>
            <w:vanish/>
            <w:color w:val="333333"/>
            <w:lang w:eastAsia="hr-HR"/>
          </w:rPr>
          <w:t>86/13</w:t>
        </w:r>
      </w:hyperlink>
    </w:p>
    <w:p>
      <w:pPr>
        <w:pStyle w:val="Normal"/>
        <w:numPr>
          <w:ilvl w:val="0"/>
          <w:numId w:val="6"/>
        </w:numPr>
        <w:spacing w:before="0" w:after="240"/>
        <w:ind w:left="0" w:hanging="360"/>
        <w:jc w:val="left"/>
        <w:rPr/>
      </w:pPr>
      <w:r>
        <w:rPr>
          <w:rFonts w:eastAsia="Times New Roman" w:cs="Arial"/>
          <w:b/>
          <w:bCs/>
          <w:color w:val="333333"/>
          <w:lang w:eastAsia="hr-HR"/>
        </w:rPr>
        <w:t>Plan gospodarenja otpadom u Republici Hrvatskoj za razdoblje 2007.-2015. godine</w:t>
        <w:br/>
      </w:r>
      <w:r>
        <w:rPr>
          <w:rFonts w:eastAsia="Times New Roman" w:cs="Arial"/>
          <w:color w:val="333333"/>
          <w:lang w:eastAsia="hr-HR"/>
        </w:rPr>
        <w:t xml:space="preserve">Narodne novine </w:t>
      </w:r>
      <w:hyperlink r:id="rId31">
        <w:r>
          <w:rPr>
            <w:webHidden/>
            <w:rStyle w:val="InternetLink"/>
            <w:rFonts w:eastAsia="Times New Roman" w:cs="Arial"/>
            <w:vanish/>
            <w:color w:val="333333"/>
            <w:lang w:eastAsia="hr-HR"/>
          </w:rPr>
          <w:t>85/07</w:t>
        </w:r>
      </w:hyperlink>
      <w:r>
        <w:rPr>
          <w:rFonts w:eastAsia="Times New Roman" w:cs="Arial"/>
          <w:color w:val="333333"/>
          <w:lang w:eastAsia="hr-HR"/>
        </w:rPr>
        <w:t xml:space="preserve">, </w:t>
      </w:r>
      <w:hyperlink r:id="rId32">
        <w:r>
          <w:rPr>
            <w:webHidden/>
            <w:rStyle w:val="InternetLink"/>
            <w:rFonts w:eastAsia="Times New Roman" w:cs="Arial"/>
            <w:vanish/>
            <w:color w:val="333333"/>
            <w:lang w:eastAsia="hr-HR"/>
          </w:rPr>
          <w:t>126/10</w:t>
        </w:r>
      </w:hyperlink>
      <w:r>
        <w:rPr>
          <w:rFonts w:eastAsia="Times New Roman" w:cs="Arial"/>
          <w:color w:val="333333"/>
          <w:lang w:eastAsia="hr-HR"/>
        </w:rPr>
        <w:t>,</w:t>
      </w:r>
      <w:hyperlink r:id="rId33">
        <w:r>
          <w:rPr>
            <w:webHidden/>
            <w:rStyle w:val="InternetLink"/>
            <w:rFonts w:eastAsia="Times New Roman" w:cs="Arial"/>
            <w:vanish/>
            <w:color w:val="333333"/>
            <w:lang w:eastAsia="hr-HR"/>
          </w:rPr>
          <w:t xml:space="preserve"> 31/11</w:t>
        </w:r>
      </w:hyperlink>
      <w:r>
        <w:rPr>
          <w:rFonts w:eastAsia="Times New Roman" w:cs="Arial"/>
          <w:color w:val="333333"/>
          <w:lang w:eastAsia="hr-HR"/>
        </w:rPr>
        <w:t xml:space="preserve">, </w:t>
      </w:r>
      <w:hyperlink r:id="rId34">
        <w:r>
          <w:rPr>
            <w:webHidden/>
            <w:rStyle w:val="InternetLink"/>
            <w:rFonts w:eastAsia="Times New Roman" w:cs="Arial"/>
            <w:vanish/>
            <w:color w:val="333333"/>
            <w:lang w:eastAsia="hr-HR"/>
          </w:rPr>
          <w:t>46/15</w:t>
        </w:r>
      </w:hyperlink>
    </w:p>
    <w:p>
      <w:pPr>
        <w:pStyle w:val="Normal"/>
        <w:numPr>
          <w:ilvl w:val="0"/>
          <w:numId w:val="6"/>
        </w:numPr>
        <w:spacing w:before="0" w:after="240"/>
        <w:ind w:left="0" w:hanging="360"/>
        <w:jc w:val="left"/>
        <w:rPr/>
      </w:pPr>
      <w:r>
        <w:rPr>
          <w:rFonts w:eastAsia="Times New Roman" w:cs="Arial"/>
          <w:b/>
          <w:bCs/>
          <w:color w:val="333333"/>
          <w:lang w:eastAsia="hr-HR"/>
        </w:rPr>
        <w:t>Pravilnik o gospodarenju muljem iz uređaja za pročišćavanje otpadnih voda kada se mulj koristi u poljoprivredi</w:t>
        <w:br/>
      </w:r>
      <w:r>
        <w:rPr>
          <w:rFonts w:eastAsia="Times New Roman" w:cs="Arial"/>
          <w:color w:val="333333"/>
          <w:lang w:eastAsia="hr-HR"/>
        </w:rPr>
        <w:t xml:space="preserve">Narodne novine </w:t>
      </w:r>
      <w:hyperlink r:id="rId35">
        <w:r>
          <w:rPr>
            <w:webHidden/>
            <w:rStyle w:val="InternetLink"/>
            <w:rFonts w:eastAsia="Times New Roman" w:cs="Arial"/>
            <w:vanish/>
            <w:color w:val="333333"/>
            <w:lang w:eastAsia="hr-HR"/>
          </w:rPr>
          <w:t>38/08</w:t>
        </w:r>
      </w:hyperlink>
    </w:p>
    <w:p>
      <w:pPr>
        <w:pStyle w:val="Normal"/>
        <w:numPr>
          <w:ilvl w:val="0"/>
          <w:numId w:val="6"/>
        </w:numPr>
        <w:spacing w:before="0" w:after="240"/>
        <w:ind w:left="0" w:hanging="360"/>
        <w:jc w:val="left"/>
        <w:rPr/>
      </w:pPr>
      <w:r>
        <w:rPr>
          <w:rFonts w:eastAsia="Times New Roman" w:cs="Arial"/>
          <w:b/>
          <w:bCs/>
          <w:color w:val="333333"/>
          <w:lang w:eastAsia="hr-HR"/>
        </w:rPr>
        <w:t>Pravilnik o gospodarenju otpadom od istraživanja i eksploatacije mineralnih sirovina</w:t>
        <w:br/>
      </w:r>
      <w:r>
        <w:rPr>
          <w:rFonts w:eastAsia="Times New Roman" w:cs="Arial"/>
          <w:color w:val="333333"/>
          <w:lang w:eastAsia="hr-HR"/>
        </w:rPr>
        <w:t xml:space="preserve">Narodne novine </w:t>
      </w:r>
      <w:hyperlink r:id="rId36">
        <w:r>
          <w:rPr>
            <w:webHidden/>
            <w:rStyle w:val="InternetLink"/>
            <w:rFonts w:eastAsia="Times New Roman" w:cs="Arial"/>
            <w:vanish/>
            <w:color w:val="333333"/>
            <w:lang w:eastAsia="hr-HR"/>
          </w:rPr>
          <w:t>128/08</w:t>
        </w:r>
      </w:hyperlink>
    </w:p>
    <w:p>
      <w:pPr>
        <w:pStyle w:val="Normal"/>
        <w:numPr>
          <w:ilvl w:val="0"/>
          <w:numId w:val="6"/>
        </w:numPr>
        <w:spacing w:before="0" w:after="240"/>
        <w:ind w:left="0" w:hanging="360"/>
        <w:jc w:val="left"/>
        <w:rPr/>
      </w:pPr>
      <w:r>
        <w:rPr>
          <w:rFonts w:eastAsia="Times New Roman" w:cs="Arial"/>
          <w:b/>
          <w:bCs/>
          <w:color w:val="333333"/>
          <w:lang w:eastAsia="hr-HR"/>
        </w:rPr>
        <w:t>Uredba o graničnim prijelazima na području Republike Hrvatske preko kojih je dopušten uvoz otpada u Europsku uniju i izvoz otpada iz Europske unije</w:t>
        <w:br/>
      </w:r>
      <w:r>
        <w:rPr>
          <w:rFonts w:eastAsia="Times New Roman" w:cs="Arial"/>
          <w:color w:val="333333"/>
          <w:lang w:eastAsia="hr-HR"/>
        </w:rPr>
        <w:t xml:space="preserve">Narodne novine </w:t>
      </w:r>
      <w:hyperlink r:id="rId37">
        <w:r>
          <w:rPr>
            <w:webHidden/>
            <w:rStyle w:val="InternetLink"/>
            <w:rFonts w:eastAsia="Times New Roman" w:cs="Arial"/>
            <w:vanish/>
            <w:color w:val="333333"/>
            <w:lang w:eastAsia="hr-HR"/>
          </w:rPr>
          <w:t>6/14</w:t>
        </w:r>
      </w:hyperlink>
    </w:p>
    <w:p>
      <w:pPr>
        <w:pStyle w:val="Normal"/>
        <w:numPr>
          <w:ilvl w:val="0"/>
          <w:numId w:val="6"/>
        </w:numPr>
        <w:spacing w:before="0" w:after="240"/>
        <w:ind w:left="0" w:hanging="360"/>
        <w:jc w:val="left"/>
        <w:rPr/>
      </w:pPr>
      <w:r>
        <w:rPr>
          <w:rFonts w:eastAsia="Times New Roman" w:cs="Arial"/>
          <w:b/>
          <w:bCs/>
          <w:color w:val="333333"/>
          <w:lang w:eastAsia="hr-HR"/>
        </w:rPr>
        <w:t>Pravilnik o gospodarenju otpadom</w:t>
        <w:br/>
      </w:r>
      <w:r>
        <w:rPr>
          <w:rFonts w:eastAsia="Times New Roman" w:cs="Arial"/>
          <w:color w:val="333333"/>
          <w:lang w:eastAsia="hr-HR"/>
        </w:rPr>
        <w:t xml:space="preserve">Narodne novine </w:t>
      </w:r>
      <w:hyperlink r:id="rId38">
        <w:r>
          <w:rPr>
            <w:webHidden/>
            <w:rStyle w:val="InternetLink"/>
            <w:rFonts w:eastAsia="Times New Roman" w:cs="Arial"/>
            <w:vanish/>
            <w:color w:val="333333"/>
            <w:lang w:eastAsia="hr-HR"/>
          </w:rPr>
          <w:t>23/14</w:t>
        </w:r>
      </w:hyperlink>
      <w:r>
        <w:rPr>
          <w:rFonts w:eastAsia="Times New Roman" w:cs="Arial"/>
          <w:color w:val="333333"/>
          <w:lang w:eastAsia="hr-HR"/>
        </w:rPr>
        <w:t xml:space="preserve">, </w:t>
      </w:r>
      <w:hyperlink r:id="rId39">
        <w:r>
          <w:rPr>
            <w:webHidden/>
            <w:rStyle w:val="InternetLink"/>
            <w:rFonts w:eastAsia="Times New Roman" w:cs="Arial"/>
            <w:vanish/>
            <w:color w:val="333333"/>
            <w:lang w:eastAsia="hr-HR"/>
          </w:rPr>
          <w:t>51/14</w:t>
        </w:r>
      </w:hyperlink>
      <w:r>
        <w:rPr>
          <w:rFonts w:eastAsia="Times New Roman" w:cs="Arial"/>
          <w:color w:val="333333"/>
          <w:lang w:eastAsia="hr-HR"/>
        </w:rPr>
        <w:t xml:space="preserve">, </w:t>
      </w:r>
      <w:hyperlink r:id="rId40">
        <w:r>
          <w:rPr>
            <w:webHidden/>
            <w:rStyle w:val="InternetLink"/>
            <w:rFonts w:eastAsia="Times New Roman" w:cs="Arial"/>
            <w:vanish/>
            <w:color w:val="333333"/>
            <w:lang w:eastAsia="hr-HR"/>
          </w:rPr>
          <w:t>121/15</w:t>
        </w:r>
      </w:hyperlink>
      <w:r>
        <w:rPr>
          <w:rFonts w:eastAsia="Times New Roman" w:cs="Arial"/>
          <w:color w:val="333333"/>
          <w:lang w:eastAsia="hr-HR"/>
        </w:rPr>
        <w:t xml:space="preserve">, </w:t>
      </w:r>
      <w:hyperlink r:id="rId41">
        <w:r>
          <w:rPr>
            <w:webHidden/>
            <w:rStyle w:val="InternetLink"/>
            <w:rFonts w:eastAsia="Times New Roman" w:cs="Arial"/>
            <w:vanish/>
            <w:color w:val="333333"/>
            <w:lang w:eastAsia="hr-HR"/>
          </w:rPr>
          <w:t>132/15</w:t>
        </w:r>
      </w:hyperlink>
      <w:r>
        <w:rPr>
          <w:rFonts w:eastAsia="Times New Roman" w:cs="Arial"/>
          <w:color w:val="333333"/>
          <w:lang w:eastAsia="hr-HR"/>
        </w:rPr>
        <w:br/>
        <w:br/>
      </w:r>
      <w:r>
        <w:rPr>
          <w:rFonts w:eastAsia="Times New Roman" w:cs="Arial"/>
          <w:b/>
          <w:bCs/>
          <w:color w:val="333333"/>
          <w:lang w:eastAsia="hr-HR"/>
        </w:rPr>
        <w:t>Pravilnik o gospodarenju otpadom</w:t>
        <w:br/>
      </w:r>
      <w:r>
        <w:rPr>
          <w:rFonts w:eastAsia="Times New Roman" w:cs="Arial"/>
          <w:color w:val="333333"/>
          <w:lang w:eastAsia="hr-HR"/>
        </w:rPr>
        <w:t xml:space="preserve">Narodne novine </w:t>
      </w:r>
      <w:hyperlink r:id="rId42">
        <w:r>
          <w:rPr>
            <w:webHidden/>
            <w:rStyle w:val="InternetLink"/>
            <w:rFonts w:eastAsia="Times New Roman" w:cs="Arial"/>
            <w:vanish/>
            <w:color w:val="333333"/>
            <w:lang w:eastAsia="hr-HR"/>
          </w:rPr>
          <w:t>23/07</w:t>
        </w:r>
      </w:hyperlink>
      <w:r>
        <w:rPr>
          <w:rFonts w:eastAsia="Times New Roman" w:cs="Arial"/>
          <w:color w:val="333333"/>
          <w:lang w:eastAsia="hr-HR"/>
        </w:rPr>
        <w:t xml:space="preserve">, </w:t>
      </w:r>
      <w:hyperlink r:id="rId43">
        <w:r>
          <w:rPr>
            <w:webHidden/>
            <w:rStyle w:val="InternetLink"/>
            <w:rFonts w:eastAsia="Times New Roman" w:cs="Arial"/>
            <w:vanish/>
            <w:color w:val="333333"/>
            <w:lang w:eastAsia="hr-HR"/>
          </w:rPr>
          <w:t>111/07</w:t>
        </w:r>
      </w:hyperlink>
      <w:r>
        <w:rPr>
          <w:rFonts w:eastAsia="Times New Roman" w:cs="Arial"/>
          <w:color w:val="333333"/>
          <w:lang w:eastAsia="hr-HR"/>
        </w:rPr>
        <w:br/>
        <w:br/>
      </w:r>
      <w:r>
        <w:rPr>
          <w:rFonts w:eastAsia="Times New Roman" w:cs="Arial"/>
          <w:b/>
          <w:bCs/>
          <w:i/>
          <w:iCs/>
          <w:color w:val="333333"/>
          <w:lang w:eastAsia="hr-HR"/>
        </w:rPr>
        <w:t>Napomena:</w:t>
      </w:r>
      <w:r>
        <w:rPr>
          <w:rFonts w:eastAsia="Times New Roman" w:cs="Arial"/>
          <w:i/>
          <w:iCs/>
          <w:color w:val="333333"/>
          <w:lang w:eastAsia="hr-HR"/>
        </w:rPr>
        <w:t xml:space="preserve"> prestao važiti stupanjem na snagu Ispravka Pravilnika o gospodarenju otpadom („Narodne novine“, br. </w:t>
      </w:r>
      <w:hyperlink r:id="rId44">
        <w:r>
          <w:rPr>
            <w:webHidden/>
            <w:rStyle w:val="InternetLink"/>
            <w:rFonts w:eastAsia="Times New Roman" w:cs="Arial"/>
            <w:i/>
            <w:iCs/>
            <w:vanish/>
            <w:color w:val="333333"/>
            <w:lang w:eastAsia="hr-HR"/>
          </w:rPr>
          <w:t>51/14</w:t>
        </w:r>
      </w:hyperlink>
      <w:r>
        <w:rPr>
          <w:rFonts w:eastAsia="Times New Roman" w:cs="Arial"/>
          <w:i/>
          <w:iCs/>
          <w:color w:val="333333"/>
          <w:lang w:eastAsia="hr-HR"/>
        </w:rPr>
        <w:t>), osim odredbi članka 18. stavaka 2., 3. i 4. i Dodatka V, koji ostaju na snazi do dana stupanja na snagu pravilnika iz članka 51. stavka 8. Zakona</w:t>
      </w:r>
    </w:p>
    <w:p>
      <w:pPr>
        <w:pStyle w:val="Normal"/>
        <w:numPr>
          <w:ilvl w:val="0"/>
          <w:numId w:val="6"/>
        </w:numPr>
        <w:spacing w:before="0" w:after="240"/>
        <w:ind w:left="0" w:hanging="360"/>
        <w:jc w:val="left"/>
        <w:rPr/>
      </w:pPr>
      <w:r>
        <w:rPr>
          <w:rFonts w:eastAsia="Times New Roman" w:cs="Arial"/>
          <w:b/>
          <w:bCs/>
          <w:color w:val="333333"/>
          <w:lang w:eastAsia="hr-HR"/>
        </w:rPr>
        <w:t>Pravilnik o gospodarenju otpadnom električnom i elektroničkom opremom</w:t>
      </w:r>
      <w:r>
        <w:rPr>
          <w:rFonts w:eastAsia="Times New Roman" w:cs="Arial"/>
          <w:color w:val="333333"/>
          <w:lang w:eastAsia="hr-HR"/>
        </w:rPr>
        <w:br/>
        <w:t xml:space="preserve">Narodne novine </w:t>
      </w:r>
      <w:hyperlink r:id="rId45">
        <w:r>
          <w:rPr>
            <w:webHidden/>
            <w:rStyle w:val="InternetLink"/>
            <w:rFonts w:eastAsia="Times New Roman" w:cs="Arial"/>
            <w:vanish/>
            <w:color w:val="333333"/>
            <w:lang w:eastAsia="hr-HR"/>
          </w:rPr>
          <w:t>42/14</w:t>
        </w:r>
      </w:hyperlink>
      <w:r>
        <w:rPr>
          <w:rFonts w:eastAsia="Times New Roman" w:cs="Arial"/>
          <w:color w:val="333333"/>
          <w:lang w:eastAsia="hr-HR"/>
        </w:rPr>
        <w:t xml:space="preserve">, </w:t>
      </w:r>
      <w:hyperlink r:id="rId46">
        <w:r>
          <w:rPr>
            <w:webHidden/>
            <w:rStyle w:val="InternetLink"/>
            <w:rFonts w:eastAsia="Times New Roman" w:cs="Arial"/>
            <w:vanish/>
            <w:color w:val="333333"/>
            <w:lang w:eastAsia="hr-HR"/>
          </w:rPr>
          <w:t>48/14</w:t>
        </w:r>
      </w:hyperlink>
      <w:r>
        <w:rPr>
          <w:rFonts w:eastAsia="Times New Roman" w:cs="Arial"/>
          <w:color w:val="333333"/>
          <w:lang w:eastAsia="hr-HR"/>
        </w:rPr>
        <w:t xml:space="preserve">, </w:t>
      </w:r>
      <w:hyperlink r:id="rId47">
        <w:r>
          <w:rPr>
            <w:webHidden/>
            <w:rStyle w:val="InternetLink"/>
            <w:rFonts w:eastAsia="Times New Roman" w:cs="Arial"/>
            <w:vanish/>
            <w:color w:val="333333"/>
            <w:lang w:eastAsia="hr-HR"/>
          </w:rPr>
          <w:t>107/14</w:t>
        </w:r>
      </w:hyperlink>
      <w:r>
        <w:rPr>
          <w:rFonts w:eastAsia="Times New Roman" w:cs="Arial"/>
          <w:color w:val="333333"/>
          <w:lang w:eastAsia="hr-HR"/>
        </w:rPr>
        <w:t xml:space="preserve">, </w:t>
      </w:r>
      <w:hyperlink r:id="rId48">
        <w:r>
          <w:rPr>
            <w:webHidden/>
            <w:rStyle w:val="InternetLink"/>
            <w:rFonts w:eastAsia="Times New Roman" w:cs="Arial"/>
            <w:vanish/>
            <w:color w:val="333333"/>
            <w:lang w:eastAsia="hr-HR"/>
          </w:rPr>
          <w:t>13</w:t>
        </w:r>
      </w:hyperlink>
      <w:hyperlink r:id="rId49">
        <w:r>
          <w:rPr>
            <w:webHidden/>
            <w:rStyle w:val="InternetLink"/>
            <w:rFonts w:eastAsia="Times New Roman" w:cs="Arial"/>
            <w:vanish/>
            <w:color w:val="333333"/>
            <w:lang w:eastAsia="hr-HR"/>
          </w:rPr>
          <w:t>9/14</w:t>
        </w:r>
      </w:hyperlink>
      <w:r>
        <w:rPr>
          <w:rFonts w:eastAsia="Times New Roman" w:cs="Arial"/>
          <w:color w:val="333333"/>
          <w:u w:val="single"/>
          <w:lang w:eastAsia="hr-HR"/>
        </w:rPr>
        <w:br/>
        <w:br/>
      </w:r>
      <w:r>
        <w:rPr>
          <w:rFonts w:eastAsia="Times New Roman" w:cs="Arial"/>
          <w:b/>
          <w:bCs/>
          <w:color w:val="333333"/>
          <w:lang w:eastAsia="hr-HR"/>
        </w:rPr>
        <w:t>Pravilnik o gospodarenju otpadnim električnim i elektroničkim uređajima i opremom</w:t>
        <w:br/>
      </w:r>
      <w:r>
        <w:rPr>
          <w:rFonts w:eastAsia="Times New Roman" w:cs="Arial"/>
          <w:color w:val="333333"/>
          <w:lang w:eastAsia="hr-HR"/>
        </w:rPr>
        <w:t xml:space="preserve">Narodne novine </w:t>
      </w:r>
      <w:hyperlink r:id="rId50">
        <w:r>
          <w:rPr>
            <w:webHidden/>
            <w:rStyle w:val="InternetLink"/>
            <w:rFonts w:eastAsia="Times New Roman" w:cs="Arial"/>
            <w:vanish/>
            <w:color w:val="333333"/>
            <w:lang w:eastAsia="hr-HR"/>
          </w:rPr>
          <w:t>74/07</w:t>
        </w:r>
      </w:hyperlink>
      <w:r>
        <w:rPr>
          <w:rFonts w:eastAsia="Times New Roman" w:cs="Arial"/>
          <w:color w:val="333333"/>
          <w:lang w:eastAsia="hr-HR"/>
        </w:rPr>
        <w:t xml:space="preserve">, </w:t>
      </w:r>
      <w:hyperlink r:id="rId51">
        <w:r>
          <w:rPr>
            <w:webHidden/>
            <w:rStyle w:val="InternetLink"/>
            <w:rFonts w:eastAsia="Times New Roman" w:cs="Arial"/>
            <w:vanish/>
            <w:color w:val="333333"/>
            <w:lang w:eastAsia="hr-HR"/>
          </w:rPr>
          <w:t>133/08</w:t>
        </w:r>
      </w:hyperlink>
      <w:r>
        <w:rPr>
          <w:rFonts w:eastAsia="Times New Roman" w:cs="Arial"/>
          <w:color w:val="333333"/>
          <w:lang w:eastAsia="hr-HR"/>
        </w:rPr>
        <w:t xml:space="preserve">, </w:t>
      </w:r>
      <w:hyperlink r:id="rId52">
        <w:r>
          <w:rPr>
            <w:webHidden/>
            <w:rStyle w:val="InternetLink"/>
            <w:rFonts w:eastAsia="Times New Roman" w:cs="Arial"/>
            <w:vanish/>
            <w:color w:val="333333"/>
            <w:lang w:eastAsia="hr-HR"/>
          </w:rPr>
          <w:t>31/09</w:t>
        </w:r>
      </w:hyperlink>
      <w:r>
        <w:rPr>
          <w:rFonts w:eastAsia="Times New Roman" w:cs="Arial"/>
          <w:color w:val="333333"/>
          <w:lang w:eastAsia="hr-HR"/>
        </w:rPr>
        <w:t xml:space="preserve">, </w:t>
      </w:r>
      <w:hyperlink r:id="rId53">
        <w:r>
          <w:rPr>
            <w:webHidden/>
            <w:rStyle w:val="InternetLink"/>
            <w:rFonts w:eastAsia="Times New Roman" w:cs="Arial"/>
            <w:vanish/>
            <w:color w:val="333333"/>
            <w:lang w:eastAsia="hr-HR"/>
          </w:rPr>
          <w:t>156/09</w:t>
        </w:r>
      </w:hyperlink>
      <w:r>
        <w:rPr>
          <w:rFonts w:eastAsia="Times New Roman" w:cs="Arial"/>
          <w:color w:val="333333"/>
          <w:lang w:eastAsia="hr-HR"/>
        </w:rPr>
        <w:t xml:space="preserve">, </w:t>
      </w:r>
      <w:hyperlink r:id="rId54">
        <w:r>
          <w:rPr>
            <w:webHidden/>
            <w:rStyle w:val="InternetLink"/>
            <w:rFonts w:eastAsia="Times New Roman" w:cs="Arial"/>
            <w:vanish/>
            <w:color w:val="333333"/>
            <w:lang w:eastAsia="hr-HR"/>
          </w:rPr>
          <w:t>143/12</w:t>
        </w:r>
      </w:hyperlink>
      <w:r>
        <w:rPr>
          <w:rFonts w:eastAsia="Times New Roman" w:cs="Arial"/>
          <w:color w:val="333333"/>
          <w:lang w:eastAsia="hr-HR"/>
        </w:rPr>
        <w:br/>
        <w:br/>
      </w:r>
      <w:r>
        <w:rPr>
          <w:rFonts w:eastAsia="Times New Roman" w:cs="Arial"/>
          <w:b/>
          <w:bCs/>
          <w:i/>
          <w:iCs/>
          <w:color w:val="333333"/>
          <w:lang w:eastAsia="hr-HR"/>
        </w:rPr>
        <w:t>Napomena:</w:t>
      </w:r>
      <w:r>
        <w:rPr>
          <w:rFonts w:eastAsia="Times New Roman" w:cs="Arial"/>
          <w:i/>
          <w:iCs/>
          <w:color w:val="333333"/>
          <w:lang w:eastAsia="hr-HR"/>
        </w:rPr>
        <w:t xml:space="preserve"> prestao važiti stupanjem na snagu Pravilnika o gospodarenju otpadnom električnom i elektroničkom opremom („Narodne novine“, br. </w:t>
      </w:r>
      <w:hyperlink r:id="rId55">
        <w:r>
          <w:rPr>
            <w:webHidden/>
            <w:rStyle w:val="InternetLink"/>
            <w:rFonts w:eastAsia="Times New Roman" w:cs="Arial"/>
            <w:i/>
            <w:iCs/>
            <w:vanish/>
            <w:color w:val="333333"/>
            <w:lang w:eastAsia="hr-HR"/>
          </w:rPr>
          <w:t>42/14</w:t>
        </w:r>
      </w:hyperlink>
      <w:r>
        <w:rPr>
          <w:rFonts w:eastAsia="Times New Roman" w:cs="Arial"/>
          <w:i/>
          <w:iCs/>
          <w:color w:val="333333"/>
          <w:lang w:eastAsia="hr-HR"/>
        </w:rPr>
        <w:t>) osim odredbi članka 4. točke 11., 12., 13. i 14., članka 16., 17., 18., 18.a, 19., 20. i članka 21. stavka 1., 2. i 3., te Dodatka V. koji važe do stupanja na snagu Uredbe iz članka 53. stavka 4. Zakona i sklapanja novih ugovora za obavljanje usluge sakupljanja i obrade EE otpada u sustavu kojim upravlja Fond, sukladno Zakonu</w:t>
      </w:r>
      <w:r>
        <w:rPr>
          <w:rFonts w:eastAsia="Times New Roman" w:cs="Arial"/>
          <w:color w:val="333333"/>
          <w:lang w:eastAsia="hr-HR"/>
        </w:rPr>
        <w:t>.</w:t>
      </w:r>
    </w:p>
    <w:p>
      <w:pPr>
        <w:pStyle w:val="Normal"/>
        <w:numPr>
          <w:ilvl w:val="0"/>
          <w:numId w:val="6"/>
        </w:numPr>
        <w:spacing w:before="0" w:after="240"/>
        <w:ind w:left="0" w:hanging="360"/>
        <w:jc w:val="left"/>
        <w:rPr/>
      </w:pPr>
      <w:r>
        <w:rPr>
          <w:rFonts w:eastAsia="Times New Roman" w:cs="Arial"/>
          <w:b/>
          <w:bCs/>
          <w:color w:val="333333"/>
          <w:lang w:eastAsia="hr-HR"/>
        </w:rPr>
        <w:t>Pravilnik o gospodarenju polikloriranim bifenilima i polikloriranim terfenilima</w:t>
      </w:r>
      <w:r>
        <w:rPr>
          <w:rFonts w:eastAsia="Times New Roman" w:cs="Arial"/>
          <w:color w:val="333333"/>
          <w:lang w:eastAsia="hr-HR"/>
        </w:rPr>
        <w:br/>
        <w:t xml:space="preserve">Narodne novine </w:t>
      </w:r>
      <w:hyperlink r:id="rId56">
        <w:r>
          <w:rPr>
            <w:webHidden/>
            <w:rStyle w:val="InternetLink"/>
            <w:rFonts w:eastAsia="Times New Roman" w:cs="Arial"/>
            <w:vanish/>
            <w:color w:val="333333"/>
            <w:lang w:eastAsia="hr-HR"/>
          </w:rPr>
          <w:t>103/14</w:t>
        </w:r>
      </w:hyperlink>
    </w:p>
    <w:p>
      <w:pPr>
        <w:pStyle w:val="Normal"/>
        <w:numPr>
          <w:ilvl w:val="0"/>
          <w:numId w:val="6"/>
        </w:numPr>
        <w:spacing w:before="0" w:after="240"/>
        <w:ind w:left="0" w:hanging="360"/>
        <w:jc w:val="left"/>
        <w:rPr/>
      </w:pPr>
      <w:r>
        <w:rPr>
          <w:rFonts w:eastAsia="Times New Roman" w:cs="Arial"/>
          <w:b/>
          <w:bCs/>
          <w:color w:val="333333"/>
          <w:lang w:eastAsia="hr-HR"/>
        </w:rPr>
        <w:t>Pravilnik o gospodarenju otpadom iz proizvodnje titan-dioksida</w:t>
      </w:r>
      <w:r>
        <w:rPr>
          <w:rFonts w:eastAsia="Times New Roman" w:cs="Arial"/>
          <w:color w:val="333333"/>
          <w:lang w:eastAsia="hr-HR"/>
        </w:rPr>
        <w:br/>
        <w:t xml:space="preserve">Narodne novine </w:t>
      </w:r>
      <w:hyperlink r:id="rId57">
        <w:r>
          <w:rPr>
            <w:webHidden/>
            <w:rStyle w:val="InternetLink"/>
            <w:rFonts w:eastAsia="Times New Roman" w:cs="Arial"/>
            <w:vanish/>
            <w:color w:val="333333"/>
            <w:lang w:eastAsia="hr-HR"/>
          </w:rPr>
          <w:t>117/14</w:t>
        </w:r>
      </w:hyperlink>
    </w:p>
    <w:p>
      <w:pPr>
        <w:pStyle w:val="Normal"/>
        <w:numPr>
          <w:ilvl w:val="0"/>
          <w:numId w:val="6"/>
        </w:numPr>
        <w:spacing w:before="0" w:after="240"/>
        <w:ind w:left="0" w:hanging="360"/>
        <w:jc w:val="left"/>
        <w:rPr/>
      </w:pPr>
      <w:r>
        <w:rPr>
          <w:rFonts w:eastAsia="Times New Roman" w:cs="Arial"/>
          <w:b/>
          <w:bCs/>
          <w:color w:val="333333"/>
          <w:lang w:eastAsia="hr-HR"/>
        </w:rPr>
        <w:t>Pravilnik o nusproizvodima i ukidanju statusa otpada</w:t>
      </w:r>
      <w:r>
        <w:rPr>
          <w:rFonts w:eastAsia="Times New Roman" w:cs="Arial"/>
          <w:color w:val="333333"/>
          <w:lang w:eastAsia="hr-HR"/>
        </w:rPr>
        <w:br/>
        <w:t xml:space="preserve">Narodne novine </w:t>
      </w:r>
      <w:hyperlink r:id="rId58">
        <w:r>
          <w:rPr>
            <w:webHidden/>
            <w:rStyle w:val="InternetLink"/>
            <w:rFonts w:eastAsia="Times New Roman" w:cs="Arial"/>
            <w:vanish/>
            <w:color w:val="333333"/>
            <w:lang w:eastAsia="hr-HR"/>
          </w:rPr>
          <w:t>117/14</w:t>
        </w:r>
      </w:hyperlink>
    </w:p>
    <w:p>
      <w:pPr>
        <w:pStyle w:val="Normal"/>
        <w:numPr>
          <w:ilvl w:val="0"/>
          <w:numId w:val="6"/>
        </w:numPr>
        <w:spacing w:before="0" w:after="240"/>
        <w:ind w:left="0" w:hanging="360"/>
        <w:jc w:val="left"/>
        <w:rPr/>
      </w:pPr>
      <w:r>
        <w:rPr>
          <w:rFonts w:eastAsia="Times New Roman" w:cs="Arial"/>
          <w:b/>
          <w:bCs/>
          <w:color w:val="333333"/>
          <w:lang w:eastAsia="hr-HR"/>
        </w:rPr>
        <w:t>Pravilnik o gospodarenju medicinskim otpadom</w:t>
      </w:r>
      <w:r>
        <w:rPr>
          <w:rFonts w:eastAsia="Times New Roman" w:cs="Arial"/>
          <w:color w:val="333333"/>
          <w:lang w:eastAsia="hr-HR"/>
        </w:rPr>
        <w:br/>
        <w:t xml:space="preserve">Narodne novine </w:t>
      </w:r>
      <w:hyperlink r:id="rId59">
        <w:r>
          <w:rPr>
            <w:webHidden/>
            <w:rStyle w:val="InternetLink"/>
            <w:rFonts w:eastAsia="Times New Roman" w:cs="Arial"/>
            <w:vanish/>
            <w:color w:val="333333"/>
            <w:lang w:eastAsia="hr-HR"/>
          </w:rPr>
          <w:t>50/15</w:t>
        </w:r>
      </w:hyperlink>
    </w:p>
    <w:p>
      <w:pPr>
        <w:pStyle w:val="Normal"/>
        <w:numPr>
          <w:ilvl w:val="0"/>
          <w:numId w:val="6"/>
        </w:numPr>
        <w:spacing w:before="0" w:after="240"/>
        <w:ind w:left="0" w:hanging="360"/>
        <w:jc w:val="left"/>
        <w:rPr/>
      </w:pPr>
      <w:r>
        <w:rPr>
          <w:rFonts w:eastAsia="Times New Roman" w:cs="Arial"/>
          <w:b/>
          <w:bCs/>
          <w:color w:val="333333"/>
          <w:lang w:eastAsia="hr-HR"/>
        </w:rPr>
        <w:t>Naputak o glomaznom otpadu</w:t>
      </w:r>
      <w:r>
        <w:rPr>
          <w:rFonts w:eastAsia="Times New Roman" w:cs="Arial"/>
          <w:color w:val="333333"/>
          <w:lang w:eastAsia="hr-HR"/>
        </w:rPr>
        <w:br/>
        <w:t xml:space="preserve">Narodne novine </w:t>
      </w:r>
      <w:hyperlink r:id="rId60">
        <w:r>
          <w:rPr>
            <w:webHidden/>
            <w:rStyle w:val="InternetLink"/>
            <w:rFonts w:eastAsia="Times New Roman" w:cs="Arial"/>
            <w:vanish/>
            <w:color w:val="333333"/>
            <w:lang w:eastAsia="hr-HR"/>
          </w:rPr>
          <w:t>79/15</w:t>
        </w:r>
      </w:hyperlink>
    </w:p>
    <w:p>
      <w:pPr>
        <w:pStyle w:val="Normal"/>
        <w:numPr>
          <w:ilvl w:val="0"/>
          <w:numId w:val="6"/>
        </w:numPr>
        <w:spacing w:before="0" w:after="240"/>
        <w:ind w:left="0" w:hanging="360"/>
        <w:jc w:val="left"/>
        <w:rPr/>
      </w:pPr>
      <w:r>
        <w:rPr>
          <w:rFonts w:eastAsia="Times New Roman" w:cs="Arial"/>
          <w:b/>
          <w:bCs/>
          <w:color w:val="333333"/>
          <w:lang w:eastAsia="hr-HR"/>
        </w:rPr>
        <w:t>Pravilnik o ambalaži i otpadnoj ambalaži</w:t>
      </w:r>
      <w:r>
        <w:rPr>
          <w:rFonts w:eastAsia="Times New Roman" w:cs="Arial"/>
          <w:color w:val="333333"/>
          <w:lang w:eastAsia="hr-HR"/>
        </w:rPr>
        <w:br/>
        <w:t xml:space="preserve">Narodne novine </w:t>
      </w:r>
      <w:hyperlink r:id="rId61">
        <w:r>
          <w:rPr>
            <w:webHidden/>
            <w:rStyle w:val="InternetLink"/>
            <w:rFonts w:eastAsia="Times New Roman" w:cs="Arial"/>
            <w:vanish/>
            <w:color w:val="333333"/>
            <w:lang w:eastAsia="hr-HR"/>
          </w:rPr>
          <w:t>88/15</w:t>
        </w:r>
      </w:hyperlink>
      <w:r>
        <w:rPr>
          <w:rFonts w:eastAsia="Times New Roman" w:cs="Arial"/>
          <w:color w:val="333333"/>
          <w:lang w:eastAsia="hr-HR"/>
        </w:rPr>
        <w:t xml:space="preserve">, </w:t>
      </w:r>
      <w:hyperlink r:id="rId62">
        <w:r>
          <w:rPr>
            <w:webHidden/>
            <w:rStyle w:val="InternetLink"/>
            <w:rFonts w:eastAsia="Times New Roman" w:cs="Arial"/>
            <w:vanish/>
            <w:color w:val="333333"/>
            <w:lang w:eastAsia="hr-HR"/>
          </w:rPr>
          <w:t>78/16</w:t>
        </w:r>
      </w:hyperlink>
      <w:r>
        <w:rPr>
          <w:rFonts w:eastAsia="Times New Roman" w:cs="Arial"/>
          <w:color w:val="333333"/>
          <w:lang w:eastAsia="hr-HR"/>
        </w:rPr>
        <w:br/>
        <w:br/>
      </w:r>
      <w:r>
        <w:rPr>
          <w:rFonts w:eastAsia="Times New Roman" w:cs="Arial"/>
          <w:b/>
          <w:bCs/>
          <w:color w:val="333333"/>
          <w:lang w:eastAsia="hr-HR"/>
        </w:rPr>
        <w:t>Pravilnik o ambalaži i ambalažnom otpadu</w:t>
        <w:br/>
      </w:r>
      <w:r>
        <w:rPr>
          <w:rFonts w:eastAsia="Times New Roman" w:cs="Arial"/>
          <w:color w:val="333333"/>
          <w:lang w:eastAsia="hr-HR"/>
        </w:rPr>
        <w:t xml:space="preserve">Narodne novine </w:t>
      </w:r>
      <w:hyperlink r:id="rId63">
        <w:r>
          <w:rPr>
            <w:webHidden/>
            <w:rStyle w:val="InternetLink"/>
            <w:rFonts w:eastAsia="Times New Roman" w:cs="Arial"/>
            <w:vanish/>
            <w:color w:val="333333"/>
            <w:lang w:eastAsia="hr-HR"/>
          </w:rPr>
          <w:t>97/05</w:t>
        </w:r>
      </w:hyperlink>
      <w:r>
        <w:rPr>
          <w:rFonts w:eastAsia="Times New Roman" w:cs="Arial"/>
          <w:color w:val="333333"/>
          <w:lang w:eastAsia="hr-HR"/>
        </w:rPr>
        <w:t xml:space="preserve">, </w:t>
      </w:r>
      <w:hyperlink r:id="rId64">
        <w:r>
          <w:rPr>
            <w:webHidden/>
            <w:rStyle w:val="InternetLink"/>
            <w:rFonts w:eastAsia="Times New Roman" w:cs="Arial"/>
            <w:vanish/>
            <w:color w:val="333333"/>
            <w:lang w:eastAsia="hr-HR"/>
          </w:rPr>
          <w:t>115/05</w:t>
        </w:r>
      </w:hyperlink>
      <w:r>
        <w:rPr>
          <w:rFonts w:eastAsia="Times New Roman" w:cs="Arial"/>
          <w:color w:val="333333"/>
          <w:lang w:eastAsia="hr-HR"/>
        </w:rPr>
        <w:t xml:space="preserve">, </w:t>
      </w:r>
      <w:hyperlink r:id="rId65">
        <w:r>
          <w:rPr>
            <w:webHidden/>
            <w:rStyle w:val="InternetLink"/>
            <w:rFonts w:eastAsia="Times New Roman" w:cs="Arial"/>
            <w:vanish/>
            <w:color w:val="333333"/>
            <w:lang w:eastAsia="hr-HR"/>
          </w:rPr>
          <w:t>81/08</w:t>
        </w:r>
      </w:hyperlink>
      <w:r>
        <w:rPr>
          <w:rFonts w:eastAsia="Times New Roman" w:cs="Arial"/>
          <w:color w:val="333333"/>
          <w:lang w:eastAsia="hr-HR"/>
        </w:rPr>
        <w:t>,</w:t>
      </w:r>
      <w:hyperlink r:id="rId66">
        <w:r>
          <w:rPr>
            <w:webHidden/>
            <w:rStyle w:val="InternetLink"/>
            <w:rFonts w:eastAsia="Times New Roman" w:cs="Arial"/>
            <w:vanish/>
            <w:color w:val="333333"/>
            <w:lang w:eastAsia="hr-HR"/>
          </w:rPr>
          <w:t xml:space="preserve"> 31/09</w:t>
        </w:r>
      </w:hyperlink>
      <w:r>
        <w:rPr>
          <w:rFonts w:eastAsia="Times New Roman" w:cs="Arial"/>
          <w:color w:val="333333"/>
          <w:lang w:eastAsia="hr-HR"/>
        </w:rPr>
        <w:t xml:space="preserve">, </w:t>
      </w:r>
      <w:hyperlink r:id="rId67">
        <w:r>
          <w:rPr>
            <w:webHidden/>
            <w:rStyle w:val="InternetLink"/>
            <w:rFonts w:eastAsia="Times New Roman" w:cs="Arial"/>
            <w:vanish/>
            <w:color w:val="333333"/>
            <w:lang w:eastAsia="hr-HR"/>
          </w:rPr>
          <w:t>156/09</w:t>
        </w:r>
      </w:hyperlink>
      <w:r>
        <w:rPr>
          <w:rFonts w:eastAsia="Times New Roman" w:cs="Arial"/>
          <w:color w:val="333333"/>
          <w:lang w:eastAsia="hr-HR"/>
        </w:rPr>
        <w:t xml:space="preserve">, </w:t>
      </w:r>
      <w:hyperlink r:id="rId68">
        <w:r>
          <w:rPr>
            <w:webHidden/>
            <w:rStyle w:val="InternetLink"/>
            <w:rFonts w:eastAsia="Times New Roman" w:cs="Arial"/>
            <w:vanish/>
            <w:color w:val="333333"/>
            <w:lang w:eastAsia="hr-HR"/>
          </w:rPr>
          <w:t>38/10</w:t>
        </w:r>
      </w:hyperlink>
      <w:r>
        <w:rPr>
          <w:rFonts w:eastAsia="Times New Roman" w:cs="Arial"/>
          <w:color w:val="333333"/>
          <w:lang w:eastAsia="hr-HR"/>
        </w:rPr>
        <w:t xml:space="preserve">, </w:t>
      </w:r>
      <w:hyperlink r:id="rId69">
        <w:r>
          <w:rPr>
            <w:webHidden/>
            <w:rStyle w:val="InternetLink"/>
            <w:rFonts w:eastAsia="Times New Roman" w:cs="Arial"/>
            <w:vanish/>
            <w:color w:val="333333"/>
            <w:lang w:eastAsia="hr-HR"/>
          </w:rPr>
          <w:t>10/11</w:t>
        </w:r>
      </w:hyperlink>
      <w:r>
        <w:rPr>
          <w:rFonts w:eastAsia="Times New Roman" w:cs="Arial"/>
          <w:color w:val="333333"/>
          <w:lang w:eastAsia="hr-HR"/>
        </w:rPr>
        <w:t xml:space="preserve">, </w:t>
      </w:r>
      <w:hyperlink r:id="rId70">
        <w:r>
          <w:rPr>
            <w:webHidden/>
            <w:rStyle w:val="InternetLink"/>
            <w:rFonts w:eastAsia="Times New Roman" w:cs="Arial"/>
            <w:vanish/>
            <w:color w:val="333333"/>
            <w:lang w:eastAsia="hr-HR"/>
          </w:rPr>
          <w:t>81/11</w:t>
        </w:r>
      </w:hyperlink>
      <w:r>
        <w:rPr>
          <w:rFonts w:eastAsia="Times New Roman" w:cs="Arial"/>
          <w:color w:val="333333"/>
          <w:lang w:eastAsia="hr-HR"/>
        </w:rPr>
        <w:t xml:space="preserve">, </w:t>
      </w:r>
      <w:hyperlink r:id="rId71">
        <w:r>
          <w:rPr>
            <w:webHidden/>
            <w:rStyle w:val="InternetLink"/>
            <w:rFonts w:eastAsia="Times New Roman" w:cs="Arial"/>
            <w:vanish/>
            <w:color w:val="333333"/>
            <w:lang w:eastAsia="hr-HR"/>
          </w:rPr>
          <w:t>126/11</w:t>
        </w:r>
      </w:hyperlink>
      <w:r>
        <w:rPr>
          <w:rFonts w:eastAsia="Times New Roman" w:cs="Arial"/>
          <w:color w:val="333333"/>
          <w:lang w:eastAsia="hr-HR"/>
        </w:rPr>
        <w:t xml:space="preserve">, </w:t>
      </w:r>
      <w:hyperlink r:id="rId72">
        <w:r>
          <w:rPr>
            <w:webHidden/>
            <w:rStyle w:val="InternetLink"/>
            <w:rFonts w:eastAsia="Times New Roman" w:cs="Arial"/>
            <w:vanish/>
            <w:color w:val="333333"/>
            <w:lang w:eastAsia="hr-HR"/>
          </w:rPr>
          <w:t>38/13</w:t>
        </w:r>
      </w:hyperlink>
      <w:r>
        <w:rPr>
          <w:rFonts w:eastAsia="Times New Roman" w:cs="Arial"/>
          <w:color w:val="333333"/>
          <w:lang w:eastAsia="hr-HR"/>
        </w:rPr>
        <w:t xml:space="preserve">, </w:t>
      </w:r>
      <w:hyperlink r:id="rId73">
        <w:r>
          <w:rPr>
            <w:webHidden/>
            <w:rStyle w:val="InternetLink"/>
            <w:rFonts w:eastAsia="Times New Roman" w:cs="Arial"/>
            <w:vanish/>
            <w:color w:val="333333"/>
            <w:lang w:eastAsia="hr-HR"/>
          </w:rPr>
          <w:t>86/13</w:t>
        </w:r>
      </w:hyperlink>
      <w:r>
        <w:rPr>
          <w:rFonts w:eastAsia="Times New Roman" w:cs="Arial"/>
          <w:color w:val="333333"/>
          <w:lang w:eastAsia="hr-HR"/>
        </w:rPr>
        <w:br/>
        <w:br/>
      </w:r>
      <w:r>
        <w:rPr>
          <w:rFonts w:eastAsia="Times New Roman" w:cs="Arial"/>
          <w:b/>
          <w:bCs/>
          <w:i/>
          <w:iCs/>
          <w:color w:val="333333"/>
          <w:lang w:eastAsia="hr-HR"/>
        </w:rPr>
        <w:t>Napomena:</w:t>
      </w:r>
      <w:r>
        <w:rPr>
          <w:rFonts w:eastAsia="Times New Roman" w:cs="Arial"/>
          <w:i/>
          <w:iCs/>
          <w:color w:val="333333"/>
          <w:lang w:eastAsia="hr-HR"/>
        </w:rPr>
        <w:t xml:space="preserve"> prestao važiti stupanjem na snagu Pravilnika o ambalaži i ambalažnom otpadu ('Narodne novine', br. 88/15) osim odredbi članaka 12., 13., 14., 19.a, 20. st. 3., 20.a i članka 25. stavaka 3., 4., 5., 6., 7., 8., 9. i 10. Pravilnika koje važe do stupanja na snagu Uredbe iz članka 53. stavka 4. Zakona i sklapanja ugovora za obavljanje usluge sakupljanja otpadne ambalaže u sustavu kojim upravlja Fond, te članka 16. stavaka 3., 8., 9., 12., 13. i 14.  Pravilnika koji vrijedi do uspostave Registra iz članka 29. Pravilnika o ambalaži i otpadnoj ambalaži ('Narodne novine', br. 88/15).</w:t>
      </w:r>
    </w:p>
    <w:p>
      <w:pPr>
        <w:pStyle w:val="Normal"/>
        <w:numPr>
          <w:ilvl w:val="0"/>
          <w:numId w:val="6"/>
        </w:numPr>
        <w:spacing w:before="0" w:after="240"/>
        <w:ind w:left="0" w:hanging="360"/>
        <w:jc w:val="left"/>
        <w:rPr/>
      </w:pPr>
      <w:r>
        <w:rPr>
          <w:rFonts w:eastAsia="Times New Roman" w:cs="Arial"/>
          <w:b/>
          <w:bCs/>
          <w:color w:val="333333"/>
          <w:lang w:eastAsia="hr-HR"/>
        </w:rPr>
        <w:t>Odluka o područjima sakupljanja neopasne otpadne ambalaže</w:t>
      </w:r>
      <w:r>
        <w:rPr>
          <w:rFonts w:eastAsia="Times New Roman" w:cs="Arial"/>
          <w:color w:val="333333"/>
          <w:lang w:eastAsia="hr-HR"/>
        </w:rPr>
        <w:br/>
        <w:t xml:space="preserve">Narodne novine </w:t>
      </w:r>
      <w:hyperlink r:id="rId74">
        <w:r>
          <w:rPr>
            <w:webHidden/>
            <w:rStyle w:val="InternetLink"/>
            <w:rFonts w:eastAsia="Times New Roman" w:cs="Arial"/>
            <w:vanish/>
            <w:color w:val="333333"/>
            <w:lang w:eastAsia="hr-HR"/>
          </w:rPr>
          <w:t>88/15</w:t>
        </w:r>
      </w:hyperlink>
    </w:p>
    <w:p>
      <w:pPr>
        <w:pStyle w:val="Normal"/>
        <w:numPr>
          <w:ilvl w:val="0"/>
          <w:numId w:val="6"/>
        </w:numPr>
        <w:spacing w:before="0" w:after="240"/>
        <w:ind w:left="0" w:hanging="360"/>
        <w:jc w:val="left"/>
        <w:rPr/>
      </w:pPr>
      <w:r>
        <w:rPr>
          <w:rFonts w:eastAsia="Times New Roman" w:cs="Arial"/>
          <w:b/>
          <w:bCs/>
          <w:color w:val="333333"/>
          <w:lang w:eastAsia="hr-HR"/>
        </w:rPr>
        <w:t>Pravilnik o katalogu otpada</w:t>
      </w:r>
      <w:r>
        <w:rPr>
          <w:rFonts w:eastAsia="Times New Roman" w:cs="Arial"/>
          <w:b/>
          <w:bCs/>
          <w:color w:val="333333"/>
          <w:u w:val="single"/>
          <w:lang w:eastAsia="hr-HR"/>
        </w:rPr>
        <w:br/>
      </w:r>
      <w:r>
        <w:rPr>
          <w:rFonts w:eastAsia="Times New Roman" w:cs="Arial"/>
          <w:color w:val="333333"/>
          <w:lang w:eastAsia="hr-HR"/>
        </w:rPr>
        <w:t xml:space="preserve">Narodne novine </w:t>
      </w:r>
      <w:hyperlink r:id="rId75">
        <w:r>
          <w:rPr>
            <w:webHidden/>
            <w:rStyle w:val="InternetLink"/>
            <w:rFonts w:eastAsia="Times New Roman" w:cs="Arial"/>
            <w:vanish/>
            <w:color w:val="333333"/>
            <w:lang w:eastAsia="hr-HR"/>
          </w:rPr>
          <w:t>90/15</w:t>
        </w:r>
      </w:hyperlink>
    </w:p>
    <w:p>
      <w:pPr>
        <w:pStyle w:val="Normal"/>
        <w:numPr>
          <w:ilvl w:val="0"/>
          <w:numId w:val="6"/>
        </w:numPr>
        <w:spacing w:before="0" w:after="0"/>
        <w:ind w:left="0" w:hanging="360"/>
        <w:jc w:val="left"/>
        <w:rPr/>
      </w:pPr>
      <w:r>
        <w:rPr>
          <w:rFonts w:eastAsia="Times New Roman" w:cs="Arial"/>
          <w:b/>
          <w:bCs/>
          <w:color w:val="333333"/>
          <w:lang w:eastAsia="hr-HR"/>
        </w:rPr>
        <w:t>Odluka o izmjeni naknade u sustavu gospodarenja otpadnim uljima</w:t>
        <w:br/>
      </w:r>
      <w:r>
        <w:rPr>
          <w:rFonts w:eastAsia="Times New Roman" w:cs="Arial"/>
          <w:color w:val="333333"/>
          <w:lang w:eastAsia="hr-HR"/>
        </w:rPr>
        <w:t xml:space="preserve">Narodne novine </w:t>
      </w:r>
      <w:hyperlink r:id="rId76">
        <w:r>
          <w:rPr>
            <w:webHidden/>
            <w:rStyle w:val="InternetLink"/>
            <w:rFonts w:eastAsia="Times New Roman" w:cs="Arial"/>
            <w:vanish/>
            <w:color w:val="333333"/>
            <w:lang w:eastAsia="hr-HR"/>
          </w:rPr>
          <w:t>95/15</w:t>
        </w:r>
        <w:r>
          <w:rPr>
            <w:rStyle w:val="InternetLink"/>
            <w:rFonts w:eastAsia="Times New Roman" w:cs="Arial"/>
            <w:color w:val="333333"/>
            <w:u w:val="single"/>
            <w:lang w:eastAsia="hr-HR"/>
          </w:rPr>
          <w:br/>
        </w:r>
        <w:r>
          <w:rPr>
            <w:rStyle w:val="InternetLink"/>
            <w:rFonts w:eastAsia="Times New Roman" w:cs="Arial"/>
            <w:b/>
            <w:bCs/>
            <w:color w:val="333333"/>
            <w:u w:val="single"/>
            <w:lang w:eastAsia="hr-HR"/>
          </w:rPr>
          <w:br/>
        </w:r>
      </w:hyperlink>
    </w:p>
    <w:p>
      <w:pPr>
        <w:pStyle w:val="Normal"/>
        <w:numPr>
          <w:ilvl w:val="0"/>
          <w:numId w:val="6"/>
        </w:numPr>
        <w:spacing w:before="0" w:after="240"/>
        <w:ind w:left="0" w:hanging="360"/>
        <w:jc w:val="left"/>
        <w:rPr/>
      </w:pPr>
      <w:r>
        <w:rPr>
          <w:rFonts w:eastAsia="Times New Roman" w:cs="Arial"/>
          <w:b/>
          <w:bCs/>
          <w:color w:val="333333"/>
          <w:lang w:eastAsia="hr-HR"/>
        </w:rPr>
        <w:t>Uredba o gospodarenju otpadnom ambalažom</w:t>
        <w:br/>
      </w:r>
      <w:r>
        <w:rPr>
          <w:rFonts w:eastAsia="Times New Roman" w:cs="Arial"/>
          <w:color w:val="333333"/>
          <w:lang w:eastAsia="hr-HR"/>
        </w:rPr>
        <w:t xml:space="preserve">Narodne novine </w:t>
      </w:r>
      <w:hyperlink r:id="rId77">
        <w:r>
          <w:rPr>
            <w:webHidden/>
            <w:rStyle w:val="InternetLink"/>
            <w:rFonts w:eastAsia="Times New Roman" w:cs="Arial"/>
            <w:vanish/>
            <w:color w:val="333333"/>
            <w:lang w:eastAsia="hr-HR"/>
          </w:rPr>
          <w:t>97/15</w:t>
        </w:r>
      </w:hyperlink>
    </w:p>
    <w:p>
      <w:pPr>
        <w:pStyle w:val="Normal"/>
        <w:numPr>
          <w:ilvl w:val="0"/>
          <w:numId w:val="6"/>
        </w:numPr>
        <w:spacing w:before="0" w:after="240"/>
        <w:ind w:left="0" w:hanging="360"/>
        <w:jc w:val="left"/>
        <w:rPr/>
      </w:pPr>
      <w:r>
        <w:rPr>
          <w:rFonts w:eastAsia="Times New Roman" w:cs="Arial"/>
          <w:b/>
          <w:bCs/>
          <w:color w:val="333333"/>
          <w:lang w:eastAsia="hr-HR"/>
        </w:rPr>
        <w:t>Pravilnik o gospodarenju otpadnim tekstilom i otpadnom obućom</w:t>
      </w:r>
      <w:r>
        <w:rPr>
          <w:rFonts w:eastAsia="Times New Roman" w:cs="Arial"/>
          <w:color w:val="333333"/>
          <w:lang w:eastAsia="hr-HR"/>
        </w:rPr>
        <w:br/>
        <w:t xml:space="preserve">Narodne novine </w:t>
      </w:r>
      <w:hyperlink r:id="rId78">
        <w:r>
          <w:rPr>
            <w:webHidden/>
            <w:rStyle w:val="InternetLink"/>
            <w:rFonts w:eastAsia="Times New Roman" w:cs="Arial"/>
            <w:vanish/>
            <w:color w:val="333333"/>
            <w:lang w:eastAsia="hr-HR"/>
          </w:rPr>
          <w:t>99/15</w:t>
        </w:r>
      </w:hyperlink>
    </w:p>
    <w:p>
      <w:pPr>
        <w:pStyle w:val="Normal"/>
        <w:numPr>
          <w:ilvl w:val="0"/>
          <w:numId w:val="6"/>
        </w:numPr>
        <w:spacing w:before="0" w:after="240"/>
        <w:ind w:left="0" w:hanging="360"/>
        <w:jc w:val="left"/>
        <w:rPr/>
      </w:pPr>
      <w:r>
        <w:rPr>
          <w:rFonts w:eastAsia="Times New Roman" w:cs="Arial"/>
          <w:b/>
          <w:bCs/>
          <w:color w:val="333333"/>
          <w:lang w:eastAsia="hr-HR"/>
        </w:rPr>
        <w:t>Uredba o gospodarenju otpadnim baterijama i akumulatorima</w:t>
      </w:r>
      <w:r>
        <w:rPr>
          <w:rFonts w:eastAsia="Times New Roman" w:cs="Arial"/>
          <w:color w:val="333333"/>
          <w:lang w:eastAsia="hr-HR"/>
        </w:rPr>
        <w:br/>
        <w:t xml:space="preserve">Narodne novine </w:t>
      </w:r>
      <w:hyperlink r:id="rId79">
        <w:r>
          <w:rPr>
            <w:webHidden/>
            <w:rStyle w:val="InternetLink"/>
            <w:rFonts w:eastAsia="Times New Roman" w:cs="Arial"/>
            <w:vanish/>
            <w:color w:val="333333"/>
            <w:lang w:eastAsia="hr-HR"/>
          </w:rPr>
          <w:t>105/15</w:t>
        </w:r>
      </w:hyperlink>
    </w:p>
    <w:p>
      <w:pPr>
        <w:pStyle w:val="Normal"/>
        <w:numPr>
          <w:ilvl w:val="0"/>
          <w:numId w:val="6"/>
        </w:numPr>
        <w:spacing w:before="0" w:after="240"/>
        <w:ind w:left="0" w:hanging="360"/>
        <w:jc w:val="left"/>
        <w:rPr/>
      </w:pPr>
      <w:r>
        <w:rPr>
          <w:rFonts w:eastAsia="Times New Roman" w:cs="Arial"/>
          <w:b/>
          <w:bCs/>
          <w:color w:val="333333"/>
          <w:lang w:eastAsia="hr-HR"/>
        </w:rPr>
        <w:t>Pravilnik o baterijama i akumulatorima i otpadnim baterijama i akumulatorima</w:t>
      </w:r>
      <w:r>
        <w:rPr>
          <w:rFonts w:eastAsia="Times New Roman" w:cs="Arial"/>
          <w:color w:val="333333"/>
          <w:lang w:eastAsia="hr-HR"/>
        </w:rPr>
        <w:br/>
        <w:t xml:space="preserve">Narodne novine </w:t>
      </w:r>
      <w:hyperlink r:id="rId80">
        <w:r>
          <w:rPr>
            <w:webHidden/>
            <w:rStyle w:val="InternetLink"/>
            <w:rFonts w:eastAsia="Times New Roman" w:cs="Arial"/>
            <w:vanish/>
            <w:color w:val="333333"/>
            <w:lang w:eastAsia="hr-HR"/>
          </w:rPr>
          <w:t>111/15</w:t>
        </w:r>
      </w:hyperlink>
      <w:r>
        <w:rPr>
          <w:rFonts w:eastAsia="Times New Roman" w:cs="Arial"/>
          <w:color w:val="333333"/>
          <w:u w:val="single"/>
          <w:lang w:eastAsia="hr-HR"/>
        </w:rPr>
        <w:br/>
        <w:br/>
      </w:r>
      <w:r>
        <w:rPr>
          <w:rFonts w:eastAsia="Times New Roman" w:cs="Arial"/>
          <w:b/>
          <w:bCs/>
          <w:color w:val="333333"/>
          <w:lang w:eastAsia="hr-HR"/>
        </w:rPr>
        <w:t xml:space="preserve">Pravilnik o gospodarenju otpadnim baterijama i akumulatorima </w:t>
        <w:br/>
      </w:r>
      <w:r>
        <w:rPr>
          <w:rFonts w:eastAsia="Times New Roman" w:cs="Arial"/>
          <w:color w:val="333333"/>
          <w:lang w:eastAsia="hr-HR"/>
        </w:rPr>
        <w:t xml:space="preserve">Narodne novine </w:t>
      </w:r>
      <w:hyperlink r:id="rId81">
        <w:r>
          <w:rPr>
            <w:webHidden/>
            <w:rStyle w:val="InternetLink"/>
            <w:rFonts w:eastAsia="Times New Roman" w:cs="Arial"/>
            <w:vanish/>
            <w:color w:val="333333"/>
            <w:lang w:eastAsia="hr-HR"/>
          </w:rPr>
          <w:t>133/06</w:t>
        </w:r>
      </w:hyperlink>
      <w:r>
        <w:rPr>
          <w:rFonts w:eastAsia="Times New Roman" w:cs="Arial"/>
          <w:color w:val="333333"/>
          <w:lang w:eastAsia="hr-HR"/>
        </w:rPr>
        <w:t xml:space="preserve">, </w:t>
      </w:r>
      <w:hyperlink r:id="rId82">
        <w:r>
          <w:rPr>
            <w:webHidden/>
            <w:rStyle w:val="InternetLink"/>
            <w:rFonts w:eastAsia="Times New Roman" w:cs="Arial"/>
            <w:vanish/>
            <w:color w:val="333333"/>
            <w:lang w:eastAsia="hr-HR"/>
          </w:rPr>
          <w:t>31/09</w:t>
        </w:r>
      </w:hyperlink>
      <w:r>
        <w:rPr>
          <w:rFonts w:eastAsia="Times New Roman" w:cs="Arial"/>
          <w:color w:val="333333"/>
          <w:lang w:eastAsia="hr-HR"/>
        </w:rPr>
        <w:t xml:space="preserve">, </w:t>
      </w:r>
      <w:hyperlink r:id="rId83">
        <w:r>
          <w:rPr>
            <w:webHidden/>
            <w:rStyle w:val="InternetLink"/>
            <w:rFonts w:eastAsia="Times New Roman" w:cs="Arial"/>
            <w:vanish/>
            <w:color w:val="333333"/>
            <w:lang w:eastAsia="hr-HR"/>
          </w:rPr>
          <w:t>156/09</w:t>
        </w:r>
      </w:hyperlink>
      <w:r>
        <w:rPr>
          <w:rFonts w:eastAsia="Times New Roman" w:cs="Arial"/>
          <w:color w:val="333333"/>
          <w:lang w:eastAsia="hr-HR"/>
        </w:rPr>
        <w:t xml:space="preserve">, </w:t>
      </w:r>
      <w:hyperlink r:id="rId84">
        <w:r>
          <w:rPr>
            <w:webHidden/>
            <w:rStyle w:val="InternetLink"/>
            <w:rFonts w:eastAsia="Times New Roman" w:cs="Arial"/>
            <w:vanish/>
            <w:color w:val="333333"/>
            <w:lang w:eastAsia="hr-HR"/>
          </w:rPr>
          <w:t>45/12</w:t>
        </w:r>
      </w:hyperlink>
      <w:r>
        <w:rPr>
          <w:rFonts w:eastAsia="Times New Roman" w:cs="Arial"/>
          <w:color w:val="333333"/>
          <w:lang w:eastAsia="hr-HR"/>
        </w:rPr>
        <w:t xml:space="preserve">, </w:t>
      </w:r>
      <w:hyperlink r:id="rId85">
        <w:r>
          <w:rPr>
            <w:webHidden/>
            <w:rStyle w:val="InternetLink"/>
            <w:rFonts w:eastAsia="Times New Roman" w:cs="Arial"/>
            <w:vanish/>
            <w:color w:val="333333"/>
            <w:lang w:eastAsia="hr-HR"/>
          </w:rPr>
          <w:t>86/13</w:t>
        </w:r>
      </w:hyperlink>
      <w:r>
        <w:rPr>
          <w:rFonts w:eastAsia="Times New Roman" w:cs="Arial"/>
          <w:color w:val="333333"/>
          <w:u w:val="single"/>
          <w:lang w:eastAsia="hr-HR"/>
        </w:rPr>
        <w:br/>
        <w:br/>
      </w:r>
      <w:r>
        <w:rPr>
          <w:rFonts w:eastAsia="Times New Roman" w:cs="Arial"/>
          <w:b/>
          <w:bCs/>
          <w:i/>
          <w:iCs/>
          <w:color w:val="333333"/>
          <w:lang w:eastAsia="hr-HR"/>
        </w:rPr>
        <w:t>Napomena:</w:t>
      </w:r>
      <w:r>
        <w:rPr>
          <w:rFonts w:eastAsia="Times New Roman" w:cs="Arial"/>
          <w:i/>
          <w:iCs/>
          <w:color w:val="333333"/>
          <w:lang w:eastAsia="hr-HR"/>
        </w:rPr>
        <w:t xml:space="preserve"> Prestao važiti stupanjem na snagu Pravilnika o baterijama i akumulatorima i otpadnim baterijama i akumulatorima (Narodne novine, br. 111/15), osim odredbi članka 18. stavka 2. alineje 2. i stavka 3. ovoga Pravilnika koje važe do stupanja na snagu Uredbe iz članka 53. stavka 4. Zakona i sklapanja ugovora za obavljanje usluge sakupljanja otpadnih prijenosnih baterija i akumulatora u sustavu kojim upravlja Fond, te članka 15. stavaka 3. i 4., članka 15.a stavaka 3. i 5. i članka 16. stavaka 2. i 3. ovoga Pravilnika koji vrijede do uspostave Registra iz članka 25. toga Pravilnika.</w:t>
      </w:r>
    </w:p>
    <w:p>
      <w:pPr>
        <w:pStyle w:val="Normal"/>
        <w:numPr>
          <w:ilvl w:val="0"/>
          <w:numId w:val="6"/>
        </w:numPr>
        <w:spacing w:before="0" w:after="240"/>
        <w:ind w:left="0" w:hanging="360"/>
        <w:jc w:val="left"/>
        <w:rPr/>
      </w:pPr>
      <w:r>
        <w:rPr>
          <w:rFonts w:eastAsia="Times New Roman" w:cs="Arial"/>
          <w:b/>
          <w:bCs/>
          <w:color w:val="333333"/>
          <w:lang w:eastAsia="hr-HR"/>
        </w:rPr>
        <w:t>Uredba o gospodarenju otpadnim vozilima</w:t>
      </w:r>
      <w:r>
        <w:rPr>
          <w:rFonts w:eastAsia="Times New Roman" w:cs="Arial"/>
          <w:color w:val="333333"/>
          <w:lang w:eastAsia="hr-HR"/>
        </w:rPr>
        <w:br/>
        <w:t xml:space="preserve">Narodne novine </w:t>
      </w:r>
      <w:hyperlink r:id="rId86">
        <w:r>
          <w:rPr>
            <w:webHidden/>
            <w:rStyle w:val="InternetLink"/>
            <w:rFonts w:eastAsia="Times New Roman" w:cs="Arial"/>
            <w:vanish/>
            <w:color w:val="333333"/>
            <w:lang w:eastAsia="hr-HR"/>
          </w:rPr>
          <w:t>112/15</w:t>
        </w:r>
      </w:hyperlink>
    </w:p>
    <w:p>
      <w:pPr>
        <w:pStyle w:val="Normal"/>
        <w:numPr>
          <w:ilvl w:val="0"/>
          <w:numId w:val="6"/>
        </w:numPr>
        <w:spacing w:before="0" w:after="240"/>
        <w:ind w:left="0" w:hanging="360"/>
        <w:jc w:val="left"/>
        <w:rPr/>
      </w:pPr>
      <w:r>
        <w:rPr>
          <w:rFonts w:eastAsia="Times New Roman" w:cs="Arial"/>
          <w:b/>
          <w:bCs/>
          <w:color w:val="333333"/>
          <w:lang w:eastAsia="hr-HR"/>
        </w:rPr>
        <w:t>Pravilnik o načinima i uvjetima odlaganja otpada, kategorijama i uvjetima rada za odlagališta otpada</w:t>
      </w:r>
      <w:r>
        <w:rPr>
          <w:rFonts w:eastAsia="Times New Roman" w:cs="Arial"/>
          <w:color w:val="333333"/>
          <w:lang w:eastAsia="hr-HR"/>
        </w:rPr>
        <w:br/>
        <w:t xml:space="preserve">Narodne novine </w:t>
      </w:r>
      <w:hyperlink r:id="rId87">
        <w:r>
          <w:rPr>
            <w:webHidden/>
            <w:rStyle w:val="InternetLink"/>
            <w:rFonts w:eastAsia="Times New Roman" w:cs="Arial"/>
            <w:vanish/>
            <w:color w:val="333333"/>
            <w:lang w:eastAsia="hr-HR"/>
          </w:rPr>
          <w:t>114/15</w:t>
        </w:r>
      </w:hyperlink>
      <w:r>
        <w:rPr>
          <w:rFonts w:eastAsia="Times New Roman" w:cs="Arial"/>
          <w:color w:val="333333"/>
          <w:lang w:eastAsia="hr-HR"/>
        </w:rPr>
        <w:br/>
        <w:br/>
      </w:r>
      <w:r>
        <w:rPr>
          <w:rFonts w:eastAsia="Times New Roman" w:cs="Arial"/>
          <w:b/>
          <w:bCs/>
          <w:color w:val="333333"/>
          <w:lang w:eastAsia="hr-HR"/>
        </w:rPr>
        <w:t>Odluka Vijeća 2003/33/EZ</w:t>
      </w:r>
      <w:r>
        <w:rPr>
          <w:rFonts w:eastAsia="Times New Roman" w:cs="Arial"/>
          <w:color w:val="333333"/>
          <w:lang w:eastAsia="hr-HR"/>
        </w:rPr>
        <w:t xml:space="preserve"> od 19. prosinca 2002. o utvrđivanju kriterija i postupaka za prihvat otpada na odlagališta sukladno članku 16. i Prilogu II. Direktivi 1999/31/EZ</w:t>
        <w:br/>
      </w:r>
      <w:hyperlink r:id="rId88">
        <w:r>
          <w:rPr>
            <w:webHidden/>
            <w:rStyle w:val="InternetLink"/>
            <w:rFonts w:eastAsia="Times New Roman" w:cs="Arial"/>
            <w:vanish/>
            <w:color w:val="333333"/>
            <w:lang w:eastAsia="hr-HR"/>
          </w:rPr>
          <w:t>Službeni list Europske unije L 11, 16. 1. 2003., str. 27- 49</w:t>
        </w:r>
      </w:hyperlink>
    </w:p>
    <w:p>
      <w:pPr>
        <w:pStyle w:val="Normal"/>
        <w:numPr>
          <w:ilvl w:val="0"/>
          <w:numId w:val="6"/>
        </w:numPr>
        <w:spacing w:before="0" w:after="240"/>
        <w:ind w:left="0" w:hanging="360"/>
        <w:jc w:val="left"/>
        <w:rPr/>
      </w:pPr>
      <w:r>
        <w:rPr>
          <w:rFonts w:eastAsia="Times New Roman" w:cs="Arial"/>
          <w:b/>
          <w:bCs/>
          <w:color w:val="333333"/>
          <w:lang w:eastAsia="hr-HR"/>
        </w:rPr>
        <w:t>Pravilnik o gospodarenju otpadnim vozilima</w:t>
      </w:r>
      <w:r>
        <w:rPr>
          <w:rFonts w:eastAsia="Times New Roman" w:cs="Arial"/>
          <w:color w:val="333333"/>
          <w:lang w:eastAsia="hr-HR"/>
        </w:rPr>
        <w:br/>
        <w:t xml:space="preserve">Narodne novine </w:t>
      </w:r>
      <w:hyperlink r:id="rId89">
        <w:r>
          <w:rPr>
            <w:webHidden/>
            <w:rStyle w:val="InternetLink"/>
            <w:rFonts w:eastAsia="Times New Roman" w:cs="Arial"/>
            <w:vanish/>
            <w:color w:val="333333"/>
            <w:lang w:eastAsia="hr-HR"/>
          </w:rPr>
          <w:t>125/15</w:t>
        </w:r>
      </w:hyperlink>
      <w:r>
        <w:rPr>
          <w:rFonts w:eastAsia="Times New Roman" w:cs="Arial"/>
          <w:color w:val="333333"/>
          <w:lang w:eastAsia="hr-HR"/>
        </w:rPr>
        <w:t xml:space="preserve">, </w:t>
      </w:r>
      <w:hyperlink r:id="rId90">
        <w:r>
          <w:rPr>
            <w:webHidden/>
            <w:rStyle w:val="InternetLink"/>
            <w:rFonts w:eastAsia="Times New Roman" w:cs="Arial"/>
            <w:vanish/>
            <w:color w:val="333333"/>
            <w:lang w:eastAsia="hr-HR"/>
          </w:rPr>
          <w:t>90/16</w:t>
        </w:r>
      </w:hyperlink>
      <w:r>
        <w:rPr>
          <w:rFonts w:eastAsia="Times New Roman" w:cs="Arial"/>
          <w:color w:val="333333"/>
          <w:lang w:eastAsia="hr-HR"/>
        </w:rPr>
        <w:br/>
        <w:br/>
      </w:r>
      <w:r>
        <w:rPr>
          <w:rFonts w:eastAsia="Times New Roman" w:cs="Arial"/>
          <w:b/>
          <w:bCs/>
          <w:color w:val="333333"/>
          <w:lang w:eastAsia="hr-HR"/>
        </w:rPr>
        <w:t>Pravilnik o gospodarenju otpadnim vozilima</w:t>
        <w:br/>
      </w:r>
      <w:r>
        <w:rPr>
          <w:rFonts w:eastAsia="Times New Roman" w:cs="Arial"/>
          <w:color w:val="333333"/>
          <w:lang w:eastAsia="hr-HR"/>
        </w:rPr>
        <w:t xml:space="preserve">Narodne novine </w:t>
      </w:r>
      <w:hyperlink r:id="rId91">
        <w:r>
          <w:rPr>
            <w:webHidden/>
            <w:rStyle w:val="InternetLink"/>
            <w:rFonts w:eastAsia="Times New Roman" w:cs="Arial"/>
            <w:vanish/>
            <w:color w:val="333333"/>
            <w:lang w:eastAsia="hr-HR"/>
          </w:rPr>
          <w:t>136/06</w:t>
        </w:r>
      </w:hyperlink>
      <w:r>
        <w:rPr>
          <w:rFonts w:eastAsia="Times New Roman" w:cs="Arial"/>
          <w:color w:val="333333"/>
          <w:lang w:eastAsia="hr-HR"/>
        </w:rPr>
        <w:t xml:space="preserve">, </w:t>
      </w:r>
      <w:hyperlink r:id="rId92">
        <w:r>
          <w:rPr>
            <w:webHidden/>
            <w:rStyle w:val="InternetLink"/>
            <w:rFonts w:eastAsia="Times New Roman" w:cs="Arial"/>
            <w:vanish/>
            <w:color w:val="333333"/>
            <w:lang w:eastAsia="hr-HR"/>
          </w:rPr>
          <w:t>31/09</w:t>
        </w:r>
      </w:hyperlink>
      <w:r>
        <w:rPr>
          <w:rFonts w:eastAsia="Times New Roman" w:cs="Arial"/>
          <w:color w:val="333333"/>
          <w:lang w:eastAsia="hr-HR"/>
        </w:rPr>
        <w:t xml:space="preserve">, </w:t>
      </w:r>
      <w:hyperlink r:id="rId93">
        <w:r>
          <w:rPr>
            <w:webHidden/>
            <w:rStyle w:val="InternetLink"/>
            <w:rFonts w:eastAsia="Times New Roman" w:cs="Arial"/>
            <w:vanish/>
            <w:color w:val="333333"/>
            <w:lang w:eastAsia="hr-HR"/>
          </w:rPr>
          <w:t>156/09</w:t>
        </w:r>
      </w:hyperlink>
      <w:r>
        <w:rPr>
          <w:rFonts w:eastAsia="Times New Roman" w:cs="Arial"/>
          <w:color w:val="333333"/>
          <w:lang w:eastAsia="hr-HR"/>
        </w:rPr>
        <w:t xml:space="preserve">, </w:t>
      </w:r>
      <w:hyperlink r:id="rId94">
        <w:r>
          <w:rPr>
            <w:webHidden/>
            <w:rStyle w:val="InternetLink"/>
            <w:rFonts w:eastAsia="Times New Roman" w:cs="Arial"/>
            <w:vanish/>
            <w:color w:val="333333"/>
            <w:lang w:eastAsia="hr-HR"/>
          </w:rPr>
          <w:t>53/12</w:t>
        </w:r>
      </w:hyperlink>
      <w:r>
        <w:rPr>
          <w:rFonts w:eastAsia="Times New Roman" w:cs="Arial"/>
          <w:color w:val="333333"/>
          <w:lang w:eastAsia="hr-HR"/>
        </w:rPr>
        <w:t xml:space="preserve">, </w:t>
      </w:r>
      <w:hyperlink r:id="rId95">
        <w:r>
          <w:rPr>
            <w:webHidden/>
            <w:rStyle w:val="InternetLink"/>
            <w:rFonts w:eastAsia="Times New Roman" w:cs="Arial"/>
            <w:vanish/>
            <w:color w:val="333333"/>
            <w:lang w:eastAsia="hr-HR"/>
          </w:rPr>
          <w:t>86/13</w:t>
        </w:r>
      </w:hyperlink>
      <w:r>
        <w:rPr>
          <w:rFonts w:eastAsia="Times New Roman" w:cs="Arial"/>
          <w:color w:val="333333"/>
          <w:lang w:eastAsia="hr-HR"/>
        </w:rPr>
        <w:t xml:space="preserve">, </w:t>
      </w:r>
      <w:hyperlink r:id="rId96">
        <w:r>
          <w:rPr>
            <w:webHidden/>
            <w:rStyle w:val="InternetLink"/>
            <w:rFonts w:eastAsia="Times New Roman" w:cs="Arial"/>
            <w:vanish/>
            <w:color w:val="333333"/>
            <w:lang w:eastAsia="hr-HR"/>
          </w:rPr>
          <w:t>91/13</w:t>
        </w:r>
      </w:hyperlink>
      <w:r>
        <w:rPr>
          <w:rFonts w:eastAsia="Times New Roman" w:cs="Arial"/>
          <w:color w:val="333333"/>
          <w:lang w:eastAsia="hr-HR"/>
        </w:rPr>
        <w:br/>
        <w:br/>
      </w:r>
      <w:r>
        <w:rPr>
          <w:rFonts w:eastAsia="Times New Roman" w:cs="Arial"/>
          <w:b/>
          <w:bCs/>
          <w:i/>
          <w:iCs/>
          <w:color w:val="333333"/>
          <w:lang w:eastAsia="hr-HR"/>
        </w:rPr>
        <w:t>Napomena</w:t>
      </w:r>
      <w:r>
        <w:rPr>
          <w:rFonts w:eastAsia="Times New Roman" w:cs="Arial"/>
          <w:i/>
          <w:iCs/>
          <w:color w:val="333333"/>
          <w:lang w:eastAsia="hr-HR"/>
        </w:rPr>
        <w:t>: prestao važiti stupanjem na snagu Pravilnika o gospodarenju otpadnim vozilima („Narodne novine“, br. 125/15), osim odredbi članka 21. i članka 28. stavaka 1., 2., 3., 4. i 5. te članka 29. stavaka 2. i 3. koje važe do sklapanja ugovora o obavljanju usluge sakupljanja otpadnih vozila u sustavu kojim upravlja Fond i donošenja odluke iz članka 16. stavka 5. Pravilnika o gospodarenju otpadnim vozilima („Narodne novine“, br. 125/15)</w:t>
      </w:r>
    </w:p>
    <w:p>
      <w:pPr>
        <w:pStyle w:val="Normal"/>
        <w:numPr>
          <w:ilvl w:val="0"/>
          <w:numId w:val="6"/>
        </w:numPr>
        <w:spacing w:before="0" w:after="240"/>
        <w:ind w:left="0" w:hanging="360"/>
        <w:rPr/>
      </w:pPr>
      <w:r>
        <w:rPr>
          <w:rFonts w:eastAsia="Times New Roman" w:cs="Arial"/>
          <w:b/>
          <w:bCs/>
          <w:color w:val="333333"/>
          <w:lang w:eastAsia="hr-HR"/>
        </w:rPr>
        <w:t>Odluka o stavljanju izvan snage Programa izobrazbe o gospodarenju otpadom</w:t>
      </w:r>
      <w:r>
        <w:rPr>
          <w:rFonts w:eastAsia="Times New Roman" w:cs="Arial"/>
          <w:color w:val="333333"/>
          <w:lang w:eastAsia="hr-HR"/>
        </w:rPr>
        <w:br/>
        <w:t xml:space="preserve">Narodne novine </w:t>
      </w:r>
      <w:hyperlink r:id="rId97">
        <w:r>
          <w:rPr>
            <w:webHidden/>
            <w:rStyle w:val="InternetLink"/>
            <w:rFonts w:eastAsia="Times New Roman" w:cs="Arial"/>
            <w:vanish/>
            <w:color w:val="333333"/>
            <w:lang w:eastAsia="hr-HR"/>
          </w:rPr>
          <w:t>20/16</w:t>
        </w:r>
      </w:hyperlink>
    </w:p>
    <w:p>
      <w:pPr>
        <w:pStyle w:val="Normal"/>
        <w:numPr>
          <w:ilvl w:val="0"/>
          <w:numId w:val="6"/>
        </w:numPr>
        <w:spacing w:before="0" w:after="240"/>
        <w:ind w:left="0" w:hanging="360"/>
        <w:jc w:val="left"/>
        <w:rPr/>
      </w:pPr>
      <w:r>
        <w:rPr>
          <w:rFonts w:eastAsia="Times New Roman" w:cs="Arial"/>
          <w:b/>
          <w:bCs/>
          <w:color w:val="333333"/>
          <w:lang w:eastAsia="hr-HR"/>
        </w:rPr>
        <w:t>Pravilnik o građevnom otpadu i otpadu koji sadrži azbest</w:t>
      </w:r>
      <w:r>
        <w:rPr>
          <w:rFonts w:eastAsia="Times New Roman" w:cs="Arial"/>
          <w:color w:val="333333"/>
          <w:lang w:eastAsia="hr-HR"/>
        </w:rPr>
        <w:br/>
        <w:t xml:space="preserve">Narodne novine </w:t>
      </w:r>
      <w:hyperlink r:id="rId98">
        <w:r>
          <w:rPr>
            <w:webHidden/>
            <w:rStyle w:val="InternetLink"/>
            <w:rFonts w:eastAsia="Times New Roman" w:cs="Arial"/>
            <w:vanish/>
            <w:color w:val="333333"/>
            <w:lang w:eastAsia="hr-HR"/>
          </w:rPr>
          <w:t>69/16</w:t>
        </w:r>
      </w:hyperlink>
    </w:p>
    <w:p>
      <w:pPr>
        <w:pStyle w:val="Normal"/>
        <w:numPr>
          <w:ilvl w:val="0"/>
          <w:numId w:val="6"/>
        </w:numPr>
        <w:spacing w:before="0" w:after="240"/>
        <w:ind w:left="0" w:hanging="360"/>
        <w:jc w:val="left"/>
        <w:rPr/>
      </w:pPr>
      <w:r>
        <w:rPr>
          <w:rFonts w:eastAsia="Times New Roman" w:cs="Arial"/>
          <w:b/>
          <w:bCs/>
          <w:color w:val="333333"/>
          <w:lang w:eastAsia="hr-HR"/>
        </w:rPr>
        <w:t>Pravilnik o termičkoj obradi otpada</w:t>
      </w:r>
      <w:r>
        <w:rPr>
          <w:rFonts w:eastAsia="Times New Roman" w:cs="Arial"/>
          <w:color w:val="333333"/>
          <w:lang w:eastAsia="hr-HR"/>
        </w:rPr>
        <w:br/>
        <w:t xml:space="preserve">Narodne novine </w:t>
      </w:r>
      <w:hyperlink r:id="rId99">
        <w:r>
          <w:rPr>
            <w:webHidden/>
            <w:rStyle w:val="InternetLink"/>
            <w:rFonts w:eastAsia="Times New Roman" w:cs="Arial"/>
            <w:vanish/>
            <w:color w:val="333333"/>
            <w:lang w:eastAsia="hr-HR"/>
          </w:rPr>
          <w:t>75/16</w:t>
        </w:r>
      </w:hyperlink>
    </w:p>
    <w:p>
      <w:pPr>
        <w:pStyle w:val="Normal"/>
        <w:numPr>
          <w:ilvl w:val="0"/>
          <w:numId w:val="6"/>
        </w:numPr>
        <w:spacing w:before="0" w:after="240"/>
        <w:ind w:left="0" w:hanging="360"/>
        <w:jc w:val="left"/>
        <w:rPr/>
      </w:pPr>
      <w:r>
        <w:rPr>
          <w:rFonts w:eastAsia="Times New Roman" w:cs="Arial"/>
          <w:b/>
          <w:bCs/>
          <w:color w:val="333333"/>
          <w:lang w:eastAsia="hr-HR"/>
        </w:rPr>
        <w:t>Pravilnik o gospodarenju otpadnim gumama</w:t>
      </w:r>
      <w:r>
        <w:rPr>
          <w:rFonts w:eastAsia="Times New Roman" w:cs="Arial"/>
          <w:color w:val="333333"/>
          <w:lang w:eastAsia="hr-HR"/>
        </w:rPr>
        <w:br/>
        <w:t xml:space="preserve">Narodne novine </w:t>
      </w:r>
      <w:hyperlink r:id="rId100">
        <w:r>
          <w:rPr>
            <w:webHidden/>
            <w:rStyle w:val="InternetLink"/>
            <w:rFonts w:eastAsia="Times New Roman" w:cs="Arial"/>
            <w:vanish/>
            <w:color w:val="333333"/>
            <w:lang w:eastAsia="hr-HR"/>
          </w:rPr>
          <w:t>113/16</w:t>
        </w:r>
      </w:hyperlink>
    </w:p>
    <w:p>
      <w:pPr>
        <w:pStyle w:val="Normal"/>
        <w:numPr>
          <w:ilvl w:val="0"/>
          <w:numId w:val="6"/>
        </w:numPr>
        <w:spacing w:before="0" w:after="0"/>
        <w:ind w:left="0" w:hanging="360"/>
        <w:jc w:val="left"/>
        <w:rPr/>
      </w:pPr>
      <w:r>
        <w:rPr>
          <w:rFonts w:eastAsia="Times New Roman" w:cs="Arial"/>
          <w:b/>
          <w:bCs/>
          <w:color w:val="333333"/>
          <w:lang w:eastAsia="hr-HR"/>
        </w:rPr>
        <w:t>Odluka o donošenju Plana gospodarenja otpadom Republike Hrvatske za razdoblje 2017. - 2022. godine</w:t>
      </w:r>
      <w:r>
        <w:rPr>
          <w:rFonts w:eastAsia="Times New Roman" w:cs="Arial"/>
          <w:color w:val="333333"/>
          <w:lang w:eastAsia="hr-HR"/>
        </w:rPr>
        <w:br/>
        <w:t xml:space="preserve">Narodne novine </w:t>
      </w:r>
      <w:hyperlink r:id="rId101">
        <w:r>
          <w:rPr>
            <w:webHidden/>
            <w:rStyle w:val="InternetLink"/>
            <w:rFonts w:eastAsia="Times New Roman" w:cs="Arial"/>
            <w:vanish/>
            <w:color w:val="333333"/>
            <w:lang w:eastAsia="hr-HR"/>
          </w:rPr>
          <w:t>3/17</w:t>
        </w:r>
      </w:hyperlink>
    </w:p>
    <w:p>
      <w:pPr>
        <w:pStyle w:val="Normal"/>
        <w:spacing w:before="0" w:after="255"/>
        <w:rPr>
          <w:rFonts w:eastAsia="Times New Roman" w:cs="Arial"/>
          <w:color w:val="333333"/>
          <w:lang w:eastAsia="hr-HR"/>
        </w:rPr>
      </w:pPr>
      <w:r>
        <w:rPr>
          <w:rFonts w:eastAsia="Times New Roman" w:cs="Arial"/>
          <w:b/>
          <w:bCs/>
          <w:color w:val="333333"/>
          <w:u w:val="single"/>
          <w:lang w:eastAsia="hr-HR"/>
        </w:rPr>
        <w:t>Akti Europske unije</w:t>
      </w:r>
    </w:p>
    <w:p>
      <w:pPr>
        <w:pStyle w:val="Normal"/>
        <w:numPr>
          <w:ilvl w:val="0"/>
          <w:numId w:val="7"/>
        </w:numPr>
        <w:spacing w:before="0" w:after="240"/>
        <w:ind w:left="0" w:hanging="360"/>
        <w:rPr/>
      </w:pPr>
      <w:hyperlink r:id="rId102">
        <w:r>
          <w:rPr>
            <w:webHidden/>
            <w:rStyle w:val="InternetLink"/>
            <w:rFonts w:eastAsia="Times New Roman" w:cs="Arial"/>
            <w:b/>
            <w:bCs/>
            <w:vanish/>
            <w:color w:val="333333"/>
            <w:lang w:eastAsia="hr-HR"/>
          </w:rPr>
          <w:t>Uredba (EZ) br. 1013/2006 Europskog parlamenta i Vijeća od 14. lipnja 2006. o pošiljkama otpada</w:t>
        </w:r>
        <w:r>
          <w:rPr>
            <w:rStyle w:val="InternetLink"/>
            <w:rFonts w:eastAsia="Times New Roman" w:cs="Arial"/>
            <w:color w:val="333333"/>
            <w:lang w:eastAsia="hr-HR"/>
          </w:rPr>
          <w:t xml:space="preserve"> </w:t>
        </w:r>
        <w:r>
          <w:rPr>
            <w:rStyle w:val="InternetLink"/>
            <w:rFonts w:eastAsia="Times New Roman" w:cs="Arial"/>
            <w:b/>
            <w:bCs/>
            <w:color w:val="333333"/>
            <w:lang w:eastAsia="hr-HR"/>
          </w:rPr>
          <w:t>(Konsolidirana verzija)</w:t>
        </w:r>
      </w:hyperlink>
      <w:r>
        <w:rPr>
          <w:rFonts w:eastAsia="Times New Roman" w:cs="Arial"/>
          <w:b/>
          <w:bCs/>
          <w:color w:val="333333"/>
          <w:lang w:eastAsia="hr-HR"/>
        </w:rPr>
        <w:t> </w:t>
      </w:r>
    </w:p>
    <w:p>
      <w:pPr>
        <w:pStyle w:val="Normal"/>
        <w:numPr>
          <w:ilvl w:val="0"/>
          <w:numId w:val="7"/>
        </w:numPr>
        <w:spacing w:before="0" w:after="240"/>
        <w:ind w:left="0" w:hanging="360"/>
        <w:jc w:val="left"/>
        <w:rPr/>
      </w:pPr>
      <w:hyperlink r:id="rId103">
        <w:r>
          <w:rPr>
            <w:webHidden/>
            <w:rStyle w:val="InternetLink"/>
            <w:rFonts w:eastAsia="Times New Roman" w:cs="Arial"/>
            <w:b/>
            <w:bCs/>
            <w:vanish/>
            <w:color w:val="333333"/>
            <w:lang w:eastAsia="hr-HR"/>
          </w:rPr>
          <w:t>Uredba Komisije (EZ) br. 1418/2007 od 29. studenoga 2007. o izvozu određenog otpada namijenjenog za oporabu navedenog u Prilogu III. ili III.A Uredbi (EZ) br. 1013/2006 Europskog parlamenta i Vijeća u određene zemlje na koje se ne primjenjuje Odluka OECD-a o kontroli prekograničnog kretanja otpada(Konsolidirana verzija)</w:t>
        </w:r>
      </w:hyperlink>
    </w:p>
    <w:p>
      <w:pPr>
        <w:pStyle w:val="Normal"/>
        <w:numPr>
          <w:ilvl w:val="0"/>
          <w:numId w:val="7"/>
        </w:numPr>
        <w:spacing w:before="0" w:after="0"/>
        <w:ind w:left="0" w:hanging="360"/>
        <w:rPr/>
      </w:pPr>
      <w:hyperlink r:id="rId104">
        <w:r>
          <w:rPr>
            <w:webHidden/>
            <w:rStyle w:val="InternetLink"/>
            <w:rFonts w:eastAsia="Times New Roman" w:cs="Arial"/>
            <w:b/>
            <w:bCs/>
            <w:vanish/>
            <w:color w:val="333333"/>
            <w:lang w:eastAsia="hr-HR"/>
          </w:rPr>
          <w:t>Provedbena uredba Komisije (EU) 2016/1245 оd 28. srpnja 2016. o utvrđivanju preliminarne korelacijske tablice između oznaka kombinirane nomenklature predviđenih u Uredbi Vijeća (EEZ) br. 2658/87 i unosa otpada navedenih u prilozima III., IV. i V. Uredbi (EZ) br. 1013/2006 Europskog parlamenta i Vijeća o pošiljkama otpada (SL L 204, 19.7.2016)</w:t>
        </w:r>
      </w:hyperlink>
    </w:p>
    <w:p>
      <w:pPr>
        <w:pStyle w:val="Normal"/>
        <w:spacing w:before="0" w:after="255"/>
        <w:rPr>
          <w:rFonts w:ascii="inherit" w:hAnsi="inherit" w:eastAsia="Times New Roman" w:cs="Arial"/>
          <w:b/>
          <w:b/>
          <w:bCs/>
          <w:color w:val="333333"/>
          <w:sz w:val="19"/>
          <w:szCs w:val="19"/>
          <w:u w:val="single"/>
          <w:lang w:eastAsia="hr-HR"/>
        </w:rPr>
      </w:pPr>
      <w:r>
        <w:rPr>
          <w:rFonts w:eastAsia="Times New Roman" w:cs="Arial" w:ascii="inherit" w:hAnsi="inherit"/>
          <w:b/>
          <w:bCs/>
          <w:color w:val="333333"/>
          <w:sz w:val="19"/>
          <w:szCs w:val="19"/>
          <w:u w:val="single"/>
          <w:lang w:eastAsia="hr-HR"/>
        </w:rPr>
      </w:r>
    </w:p>
    <w:p>
      <w:pPr>
        <w:pStyle w:val="Normal"/>
        <w:spacing w:before="0" w:after="255"/>
        <w:rPr>
          <w:rFonts w:eastAsia="Times New Roman" w:cs="Arial"/>
          <w:color w:val="333333"/>
          <w:lang w:eastAsia="hr-HR"/>
        </w:rPr>
      </w:pPr>
      <w:r>
        <w:rPr>
          <w:rFonts w:eastAsia="Times New Roman" w:cs="Arial" w:ascii="inherit" w:hAnsi="inherit"/>
          <w:b/>
          <w:bCs/>
          <w:color w:val="333333"/>
          <w:sz w:val="19"/>
          <w:szCs w:val="19"/>
          <w:u w:val="single"/>
          <w:lang w:eastAsia="hr-HR"/>
        </w:rPr>
        <w:br/>
      </w:r>
      <w:r>
        <w:rPr>
          <w:rFonts w:eastAsia="Times New Roman" w:cs="Arial"/>
          <w:b/>
          <w:bCs/>
          <w:color w:val="333333"/>
          <w:u w:val="single"/>
          <w:lang w:eastAsia="hr-HR"/>
        </w:rPr>
        <w:t>Međunarodni ugovor</w:t>
      </w:r>
    </w:p>
    <w:p>
      <w:pPr>
        <w:pStyle w:val="Normal"/>
        <w:numPr>
          <w:ilvl w:val="0"/>
          <w:numId w:val="8"/>
        </w:numPr>
        <w:spacing w:before="0" w:after="0"/>
        <w:ind w:left="0" w:hanging="360"/>
        <w:jc w:val="left"/>
        <w:rPr/>
      </w:pPr>
      <w:r>
        <w:rPr>
          <w:rFonts w:eastAsia="Times New Roman" w:cs="Arial"/>
          <w:b/>
          <w:bCs/>
          <w:color w:val="333333"/>
          <w:lang w:eastAsia="hr-HR"/>
        </w:rPr>
        <w:t>Konvencija o nadzoru prekograničnog prometa opasnog otpada i njegovu odlaganju</w:t>
      </w:r>
      <w:r>
        <w:rPr>
          <w:rFonts w:eastAsia="Times New Roman" w:cs="Arial"/>
          <w:color w:val="333333"/>
          <w:lang w:eastAsia="hr-HR"/>
        </w:rPr>
        <w:br/>
      </w:r>
      <w:r>
        <w:rPr>
          <w:rFonts w:eastAsia="Times New Roman" w:cs="Arial"/>
          <w:b/>
          <w:bCs/>
          <w:color w:val="333333"/>
          <w:lang w:eastAsia="hr-HR"/>
        </w:rPr>
        <w:t>(Basel, 1992.)</w:t>
      </w:r>
      <w:r>
        <w:rPr>
          <w:rFonts w:eastAsia="Times New Roman" w:cs="Arial"/>
          <w:color w:val="333333"/>
          <w:lang w:eastAsia="hr-HR"/>
        </w:rPr>
        <w:br/>
        <w:t xml:space="preserve">Objavljena u 'Narodnim novinama - Međunarodni ugovori' br. </w:t>
      </w:r>
      <w:hyperlink r:id="rId105">
        <w:r>
          <w:rPr>
            <w:webHidden/>
            <w:rStyle w:val="InternetLink"/>
            <w:rFonts w:eastAsia="Times New Roman" w:cs="Arial"/>
            <w:vanish/>
            <w:color w:val="333333"/>
            <w:lang w:eastAsia="hr-HR"/>
          </w:rPr>
          <w:t>3/94</w:t>
        </w:r>
      </w:hyperlink>
      <w:r>
        <w:rPr>
          <w:rFonts w:eastAsia="Times New Roman" w:cs="Arial"/>
          <w:color w:val="333333"/>
          <w:lang w:eastAsia="hr-HR"/>
        </w:rPr>
        <w:t>.</w:t>
        <w:br/>
        <w:t>Stupila je na snagu u odnosu na Republiku Hrvatsku 7. kolovoza 1994.</w:t>
      </w:r>
    </w:p>
    <w:p>
      <w:pPr>
        <w:pStyle w:val="Normal"/>
        <w:rPr/>
      </w:pPr>
      <w:r>
        <w:rPr/>
      </w:r>
    </w:p>
    <w:p>
      <w:pPr>
        <w:pStyle w:val="Normal"/>
        <w:rPr/>
      </w:pPr>
      <w:r>
        <w:rPr/>
      </w:r>
    </w:p>
    <w:p>
      <w:pPr>
        <w:pStyle w:val="Normal"/>
        <w:rPr/>
      </w:pPr>
      <w:r>
        <w:rPr/>
      </w:r>
    </w:p>
    <w:p>
      <w:pPr>
        <w:pStyle w:val="Normal"/>
        <w:spacing w:before="0" w:after="0"/>
        <w:rPr/>
      </w:pPr>
      <w:r>
        <w:rPr/>
      </w:r>
    </w:p>
    <w:p>
      <w:pPr>
        <w:pStyle w:val="Normal"/>
        <w:spacing w:lineRule="auto" w:line="276" w:before="0" w:after="0"/>
        <w:rPr/>
      </w:pPr>
      <w:r>
        <w:rPr/>
      </w:r>
    </w:p>
    <w:p>
      <w:pPr>
        <w:pStyle w:val="Normal"/>
        <w:widowControl/>
        <w:bidi w:val="0"/>
        <w:spacing w:lineRule="auto" w:line="240" w:before="0" w:after="200"/>
        <w:jc w:val="both"/>
        <w:rPr/>
      </w:pPr>
      <w:r>
        <w:rPr/>
      </w:r>
    </w:p>
    <w:p>
      <w:pPr>
        <w:sectPr>
          <w:type w:val="continuous"/>
          <w:pgSz w:w="11906" w:h="16838"/>
          <w:pgMar w:left="1417" w:right="1417" w:header="708" w:top="1417" w:footer="708" w:bottom="1417" w:gutter="0"/>
          <w:formProt w:val="false"/>
          <w:textDirection w:val="lrTb"/>
          <w:docGrid w:type="default" w:linePitch="360" w:charSpace="4294965247"/>
        </w:sectPr>
      </w:pPr>
    </w:p>
    <w:sectPr>
      <w:type w:val="continuous"/>
      <w:pgSz w:w="11906" w:h="16838"/>
      <w:pgMar w:left="1417" w:right="1417" w:header="708" w:top="1417" w:footer="708"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Arial">
    <w:charset w:val="ee"/>
    <w:family w:val="roman"/>
    <w:pitch w:val="variable"/>
  </w:font>
  <w:font w:name="Cambria">
    <w:charset w:val="ee"/>
    <w:family w:val="roman"/>
    <w:pitch w:val="variable"/>
  </w:font>
  <w:font w:name="Tahoma">
    <w:charset w:val="ee"/>
    <w:family w:val="roman"/>
    <w:pitch w:val="variable"/>
  </w:font>
  <w:font w:name="Liberation Sans">
    <w:altName w:val="Arial"/>
    <w:charset w:val="ee"/>
    <w:family w:val="roman"/>
    <w:pitch w:val="variable"/>
  </w:font>
  <w:font w:name="Times New Roman">
    <w:charset w:val="ee"/>
    <w:family w:val="roman"/>
    <w:pitch w:val="variable"/>
  </w:font>
  <w:font w:name="inherit">
    <w:charset w:val="ee"/>
    <w:family w:val="roman"/>
    <w:pitch w:val="variable"/>
  </w:font>
  <w:font w:name="Courier New">
    <w:charset w:val="01"/>
    <w:family w:val="modern"/>
    <w:pitch w:val="fixed"/>
  </w:font>
  <w:font w:name="Wingdings">
    <w:charset w:val="02"/>
    <w:family w:val="auto"/>
    <w:pitch w:val="variable"/>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pBdr>
        <w:bottom w:val="thickThinSmallGap" w:sz="24" w:space="1" w:color="622423"/>
      </w:pBdr>
      <w:jc w:val="center"/>
      <w:rPr/>
    </w:pPr>
    <w:r>
      <w:rPr/>
      <w:t>Plan gospodarenja otpadom</w:t>
    </w:r>
    <w:sdt>
      <w:sdtPr>
        <w:text/>
        <w:dataBinding w:prefixMappings="xmlns:ns0='http://schemas.openxmlformats.org/package/2006/metadata/core-properties' xmlns:ns1='http://purl.org/dc/elements/1.1/'" w:xpath="/ns0:coreProperties[1]/ns1:title[1]" w:storeItemID="{6C3C8BC8-F283-45AE-878A-BAB7291924A1}"/>
        <w:alias w:val="Naslov"/>
      </w:sdtPr>
      <w:sdtContent>
        <w:r>
          <w:rPr/>
          <w:t xml:space="preserve">     </w:t>
        </w:r>
      </w:sdtContent>
    </w:sdt>
  </w:p>
  <w:p>
    <w:pPr>
      <w:pStyle w:val="Header"/>
      <w:rPr/>
    </w:pPr>
    <w:r>
      <w:rPr/>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bullet"/>
      <w:lvlText w:val="-"/>
      <w:lvlJc w:val="left"/>
      <w:pPr>
        <w:tabs>
          <w:tab w:val="num" w:pos="720"/>
        </w:tabs>
        <w:ind w:left="720" w:hanging="360"/>
      </w:pPr>
      <w:rPr>
        <w:rFonts w:ascii="Arial" w:hAnsi="Arial" w:cs="Arial" w:hint="default"/>
        <w:sz w:val="22"/>
        <w:rFonts w:cs="Aria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5">
    <w:lvl w:ilvl="0">
      <w:start w:val="1"/>
      <w:numFmt w:val="bullet"/>
      <w:lvlText w:val=""/>
      <w:lvlJc w:val="left"/>
      <w:pPr>
        <w:tabs>
          <w:tab w:val="num" w:pos="360"/>
        </w:tabs>
        <w:ind w:left="360" w:hanging="360"/>
      </w:pPr>
      <w:rPr>
        <w:rFonts w:ascii="Symbol" w:hAnsi="Symbol" w:cs="Symbol" w:hint="default"/>
        <w:sz w:val="22"/>
        <w:rFonts w:cs="Symbol"/>
        <w:color w:val="00000A"/>
      </w:rPr>
    </w:lvl>
    <w:lvl w:ilvl="1">
      <w:start w:val="1"/>
      <w:numFmt w:val="bullet"/>
      <w:lvlText w:val="o"/>
      <w:lvlJc w:val="left"/>
      <w:pPr>
        <w:tabs>
          <w:tab w:val="num" w:pos="1080"/>
        </w:tabs>
        <w:ind w:left="1080" w:hanging="360"/>
      </w:pPr>
      <w:rPr>
        <w:rFonts w:ascii="Courier New" w:hAnsi="Courier New" w:cs="Courier New" w:hint="default"/>
        <w:sz w:val="20"/>
        <w:rFonts w:cs="Courier New"/>
      </w:rPr>
    </w:lvl>
    <w:lvl w:ilvl="2">
      <w:start w:val="1"/>
      <w:numFmt w:val="bullet"/>
      <w:lvlText w:val=""/>
      <w:lvlJc w:val="left"/>
      <w:pPr>
        <w:tabs>
          <w:tab w:val="num" w:pos="1800"/>
        </w:tabs>
        <w:ind w:left="1800" w:hanging="360"/>
      </w:pPr>
      <w:rPr>
        <w:rFonts w:ascii="Wingdings" w:hAnsi="Wingdings" w:cs="Wingdings" w:hint="default"/>
        <w:sz w:val="20"/>
        <w:rFonts w:cs="Wingdings"/>
      </w:rPr>
    </w:lvl>
    <w:lvl w:ilvl="3">
      <w:start w:val="1"/>
      <w:numFmt w:val="bullet"/>
      <w:lvlText w:val=""/>
      <w:lvlJc w:val="left"/>
      <w:pPr>
        <w:tabs>
          <w:tab w:val="num" w:pos="2520"/>
        </w:tabs>
        <w:ind w:left="2520" w:hanging="360"/>
      </w:pPr>
      <w:rPr>
        <w:rFonts w:ascii="Wingdings" w:hAnsi="Wingdings" w:cs="Wingdings" w:hint="default"/>
        <w:sz w:val="20"/>
        <w:rFonts w:cs="Wingdings"/>
      </w:rPr>
    </w:lvl>
    <w:lvl w:ilvl="4">
      <w:start w:val="1"/>
      <w:numFmt w:val="bullet"/>
      <w:lvlText w:val=""/>
      <w:lvlJc w:val="left"/>
      <w:pPr>
        <w:tabs>
          <w:tab w:val="num" w:pos="3240"/>
        </w:tabs>
        <w:ind w:left="3240" w:hanging="360"/>
      </w:pPr>
      <w:rPr>
        <w:rFonts w:ascii="Wingdings" w:hAnsi="Wingdings" w:cs="Wingdings" w:hint="default"/>
        <w:sz w:val="20"/>
        <w:rFonts w:cs="Wingdings"/>
      </w:rPr>
    </w:lvl>
    <w:lvl w:ilvl="5">
      <w:start w:val="1"/>
      <w:numFmt w:val="bullet"/>
      <w:lvlText w:val=""/>
      <w:lvlJc w:val="left"/>
      <w:pPr>
        <w:tabs>
          <w:tab w:val="num" w:pos="3960"/>
        </w:tabs>
        <w:ind w:left="3960" w:hanging="360"/>
      </w:pPr>
      <w:rPr>
        <w:rFonts w:ascii="Wingdings" w:hAnsi="Wingdings" w:cs="Wingdings" w:hint="default"/>
        <w:sz w:val="20"/>
        <w:rFonts w:cs="Wingdings"/>
      </w:rPr>
    </w:lvl>
    <w:lvl w:ilvl="6">
      <w:start w:val="1"/>
      <w:numFmt w:val="bullet"/>
      <w:lvlText w:val=""/>
      <w:lvlJc w:val="left"/>
      <w:pPr>
        <w:tabs>
          <w:tab w:val="num" w:pos="4680"/>
        </w:tabs>
        <w:ind w:left="4680" w:hanging="360"/>
      </w:pPr>
      <w:rPr>
        <w:rFonts w:ascii="Wingdings" w:hAnsi="Wingdings" w:cs="Wingdings" w:hint="default"/>
        <w:sz w:val="20"/>
        <w:rFonts w:cs="Wingdings"/>
      </w:rPr>
    </w:lvl>
    <w:lvl w:ilvl="7">
      <w:start w:val="1"/>
      <w:numFmt w:val="bullet"/>
      <w:lvlText w:val=""/>
      <w:lvlJc w:val="left"/>
      <w:pPr>
        <w:tabs>
          <w:tab w:val="num" w:pos="5400"/>
        </w:tabs>
        <w:ind w:left="5400" w:hanging="360"/>
      </w:pPr>
      <w:rPr>
        <w:rFonts w:ascii="Wingdings" w:hAnsi="Wingdings" w:cs="Wingdings" w:hint="default"/>
        <w:sz w:val="20"/>
        <w:rFonts w:cs="Wingdings"/>
      </w:rPr>
    </w:lvl>
    <w:lvl w:ilvl="8">
      <w:start w:val="1"/>
      <w:numFmt w:val="bullet"/>
      <w:lvlText w:val=""/>
      <w:lvlJc w:val="left"/>
      <w:pPr>
        <w:tabs>
          <w:tab w:val="num" w:pos="6120"/>
        </w:tabs>
        <w:ind w:left="6120" w:hanging="360"/>
      </w:pPr>
      <w:rPr>
        <w:rFonts w:ascii="Wingdings" w:hAnsi="Wingdings" w:cs="Wingdings" w:hint="default"/>
        <w:sz w:val="20"/>
        <w:rFonts w:cs="Wingdings"/>
      </w:rPr>
    </w:lvl>
  </w:abstractNum>
  <w:abstractNum w:abstractNumId="6">
    <w:lvl w:ilvl="0">
      <w:start w:val="1"/>
      <w:numFmt w:val="bullet"/>
      <w:lvlText w:val=""/>
      <w:lvlJc w:val="left"/>
      <w:pPr>
        <w:tabs>
          <w:tab w:val="num" w:pos="360"/>
        </w:tabs>
        <w:ind w:left="360" w:hanging="360"/>
      </w:pPr>
      <w:rPr>
        <w:rFonts w:ascii="Symbol" w:hAnsi="Symbol" w:cs="Symbol" w:hint="default"/>
        <w:sz w:val="20"/>
        <w:rFonts w:cs="Symbol"/>
      </w:rPr>
    </w:lvl>
    <w:lvl w:ilvl="1">
      <w:start w:val="1"/>
      <w:numFmt w:val="bullet"/>
      <w:lvlText w:val="o"/>
      <w:lvlJc w:val="left"/>
      <w:pPr>
        <w:tabs>
          <w:tab w:val="num" w:pos="1080"/>
        </w:tabs>
        <w:ind w:left="1080" w:hanging="360"/>
      </w:pPr>
      <w:rPr>
        <w:rFonts w:ascii="Courier New" w:hAnsi="Courier New" w:cs="Courier New" w:hint="default"/>
        <w:sz w:val="20"/>
        <w:rFonts w:cs="Courier New"/>
      </w:rPr>
    </w:lvl>
    <w:lvl w:ilvl="2">
      <w:start w:val="1"/>
      <w:numFmt w:val="bullet"/>
      <w:lvlText w:val=""/>
      <w:lvlJc w:val="left"/>
      <w:pPr>
        <w:tabs>
          <w:tab w:val="num" w:pos="1800"/>
        </w:tabs>
        <w:ind w:left="1800" w:hanging="360"/>
      </w:pPr>
      <w:rPr>
        <w:rFonts w:ascii="Wingdings" w:hAnsi="Wingdings" w:cs="Wingdings" w:hint="default"/>
        <w:sz w:val="20"/>
        <w:rFonts w:cs="Wingdings"/>
      </w:rPr>
    </w:lvl>
    <w:lvl w:ilvl="3">
      <w:start w:val="1"/>
      <w:numFmt w:val="bullet"/>
      <w:lvlText w:val=""/>
      <w:lvlJc w:val="left"/>
      <w:pPr>
        <w:tabs>
          <w:tab w:val="num" w:pos="2520"/>
        </w:tabs>
        <w:ind w:left="2520" w:hanging="360"/>
      </w:pPr>
      <w:rPr>
        <w:rFonts w:ascii="Wingdings" w:hAnsi="Wingdings" w:cs="Wingdings" w:hint="default"/>
        <w:sz w:val="20"/>
        <w:rFonts w:cs="Wingdings"/>
      </w:rPr>
    </w:lvl>
    <w:lvl w:ilvl="4">
      <w:start w:val="1"/>
      <w:numFmt w:val="bullet"/>
      <w:lvlText w:val=""/>
      <w:lvlJc w:val="left"/>
      <w:pPr>
        <w:tabs>
          <w:tab w:val="num" w:pos="3240"/>
        </w:tabs>
        <w:ind w:left="3240" w:hanging="360"/>
      </w:pPr>
      <w:rPr>
        <w:rFonts w:ascii="Wingdings" w:hAnsi="Wingdings" w:cs="Wingdings" w:hint="default"/>
        <w:sz w:val="20"/>
        <w:rFonts w:cs="Wingdings"/>
      </w:rPr>
    </w:lvl>
    <w:lvl w:ilvl="5">
      <w:start w:val="1"/>
      <w:numFmt w:val="bullet"/>
      <w:lvlText w:val=""/>
      <w:lvlJc w:val="left"/>
      <w:pPr>
        <w:tabs>
          <w:tab w:val="num" w:pos="3960"/>
        </w:tabs>
        <w:ind w:left="3960" w:hanging="360"/>
      </w:pPr>
      <w:rPr>
        <w:rFonts w:ascii="Wingdings" w:hAnsi="Wingdings" w:cs="Wingdings" w:hint="default"/>
        <w:sz w:val="20"/>
        <w:rFonts w:cs="Wingdings"/>
      </w:rPr>
    </w:lvl>
    <w:lvl w:ilvl="6">
      <w:start w:val="1"/>
      <w:numFmt w:val="bullet"/>
      <w:lvlText w:val=""/>
      <w:lvlJc w:val="left"/>
      <w:pPr>
        <w:tabs>
          <w:tab w:val="num" w:pos="4680"/>
        </w:tabs>
        <w:ind w:left="4680" w:hanging="360"/>
      </w:pPr>
      <w:rPr>
        <w:rFonts w:ascii="Wingdings" w:hAnsi="Wingdings" w:cs="Wingdings" w:hint="default"/>
        <w:sz w:val="20"/>
        <w:rFonts w:cs="Wingdings"/>
      </w:rPr>
    </w:lvl>
    <w:lvl w:ilvl="7">
      <w:start w:val="1"/>
      <w:numFmt w:val="bullet"/>
      <w:lvlText w:val=""/>
      <w:lvlJc w:val="left"/>
      <w:pPr>
        <w:tabs>
          <w:tab w:val="num" w:pos="5400"/>
        </w:tabs>
        <w:ind w:left="5400" w:hanging="360"/>
      </w:pPr>
      <w:rPr>
        <w:rFonts w:ascii="Wingdings" w:hAnsi="Wingdings" w:cs="Wingdings" w:hint="default"/>
        <w:sz w:val="20"/>
        <w:rFonts w:cs="Wingdings"/>
      </w:rPr>
    </w:lvl>
    <w:lvl w:ilvl="8">
      <w:start w:val="1"/>
      <w:numFmt w:val="bullet"/>
      <w:lvlText w:val=""/>
      <w:lvlJc w:val="left"/>
      <w:pPr>
        <w:tabs>
          <w:tab w:val="num" w:pos="6120"/>
        </w:tabs>
        <w:ind w:left="6120" w:hanging="360"/>
      </w:pPr>
      <w:rPr>
        <w:rFonts w:ascii="Wingdings" w:hAnsi="Wingdings" w:cs="Wingdings" w:hint="default"/>
        <w:sz w:val="20"/>
        <w:rFonts w:cs="Wingdings"/>
      </w:rPr>
    </w:lvl>
  </w:abstractNum>
  <w:abstractNum w:abstractNumId="7">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8">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9">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hr-H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hr-H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Normal (Web)"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2e5efd"/>
    <w:pPr>
      <w:widowControl/>
      <w:bidi w:val="0"/>
      <w:spacing w:lineRule="auto" w:line="240" w:before="0" w:after="200"/>
      <w:jc w:val="both"/>
    </w:pPr>
    <w:rPr>
      <w:rFonts w:ascii="Arial" w:hAnsi="Arial" w:eastAsia="Calibri" w:cs="" w:cstheme="minorBidi" w:eastAsiaTheme="minorHAnsi"/>
      <w:color w:val="00000A"/>
      <w:sz w:val="22"/>
      <w:szCs w:val="22"/>
      <w:lang w:val="hr-HR" w:eastAsia="en-US" w:bidi="ar-SA"/>
    </w:rPr>
  </w:style>
  <w:style w:type="paragraph" w:styleId="Heading1">
    <w:name w:val="Heading 1"/>
    <w:basedOn w:val="Normal"/>
    <w:next w:val="Normal"/>
    <w:link w:val="Heading1Char"/>
    <w:uiPriority w:val="9"/>
    <w:qFormat/>
    <w:rsid w:val="003503b3"/>
    <w:pPr>
      <w:keepNext/>
      <w:keepLines/>
      <w:spacing w:before="480" w:after="0"/>
      <w:outlineLvl w:val="0"/>
    </w:pPr>
    <w:rPr>
      <w:rFonts w:eastAsia="" w:cs="" w:cstheme="majorBidi" w:eastAsiaTheme="majorEastAsia"/>
      <w:b/>
      <w:bCs/>
      <w:sz w:val="24"/>
      <w:szCs w:val="28"/>
    </w:rPr>
  </w:style>
  <w:style w:type="paragraph" w:styleId="Heading2">
    <w:name w:val="Heading 2"/>
    <w:basedOn w:val="Normal"/>
    <w:next w:val="Normal"/>
    <w:link w:val="Heading2Char"/>
    <w:uiPriority w:val="9"/>
    <w:unhideWhenUsed/>
    <w:qFormat/>
    <w:rsid w:val="003503b3"/>
    <w:pPr>
      <w:keepNext/>
      <w:keepLines/>
      <w:spacing w:before="200" w:after="0"/>
      <w:outlineLvl w:val="1"/>
    </w:pPr>
    <w:rPr>
      <w:rFonts w:eastAsia="" w:cs="" w:cstheme="majorBidi" w:eastAsiaTheme="majorEastAsia"/>
      <w:b/>
      <w:bCs/>
      <w:sz w:val="24"/>
      <w:szCs w:val="26"/>
    </w:rPr>
  </w:style>
  <w:style w:type="paragraph" w:styleId="Heading3">
    <w:name w:val="Heading 3"/>
    <w:basedOn w:val="Normal"/>
    <w:next w:val="Normal"/>
    <w:link w:val="Heading3Char"/>
    <w:uiPriority w:val="9"/>
    <w:semiHidden/>
    <w:unhideWhenUsed/>
    <w:qFormat/>
    <w:rsid w:val="007f41ee"/>
    <w:pPr>
      <w:keepNext/>
      <w:keepLines/>
      <w:spacing w:before="200" w:after="0"/>
      <w:outlineLvl w:val="2"/>
    </w:pPr>
    <w:rPr>
      <w:rFonts w:ascii="Cambria" w:hAnsi="Cambria" w:eastAsia="" w:cs="" w:asciiTheme="majorHAnsi" w:cstheme="majorBidi" w:eastAsiaTheme="majorEastAsia" w:hAnsiTheme="majorHAnsi"/>
      <w:b/>
      <w:bCs/>
      <w:color w:val="4F81BD" w:themeColor="accent1"/>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3503b3"/>
    <w:rPr>
      <w:rFonts w:ascii="Arial" w:hAnsi="Arial" w:eastAsia="" w:cs="" w:cstheme="majorBidi" w:eastAsiaTheme="majorEastAsia"/>
      <w:b/>
      <w:bCs/>
      <w:sz w:val="24"/>
      <w:szCs w:val="28"/>
    </w:rPr>
  </w:style>
  <w:style w:type="character" w:styleId="Heading2Char" w:customStyle="1">
    <w:name w:val="Heading 2 Char"/>
    <w:basedOn w:val="DefaultParagraphFont"/>
    <w:link w:val="Heading2"/>
    <w:uiPriority w:val="9"/>
    <w:qFormat/>
    <w:rsid w:val="003503b3"/>
    <w:rPr>
      <w:rFonts w:ascii="Arial" w:hAnsi="Arial" w:eastAsia="" w:cs="" w:cstheme="majorBidi" w:eastAsiaTheme="majorEastAsia"/>
      <w:b/>
      <w:bCs/>
      <w:sz w:val="24"/>
      <w:szCs w:val="26"/>
    </w:rPr>
  </w:style>
  <w:style w:type="character" w:styleId="BalloonTextChar" w:customStyle="1">
    <w:name w:val="Balloon Text Char"/>
    <w:basedOn w:val="DefaultParagraphFont"/>
    <w:link w:val="BalloonText"/>
    <w:uiPriority w:val="99"/>
    <w:semiHidden/>
    <w:qFormat/>
    <w:rsid w:val="00db27f0"/>
    <w:rPr>
      <w:rFonts w:ascii="Tahoma" w:hAnsi="Tahoma" w:cs="Tahoma"/>
      <w:sz w:val="16"/>
      <w:szCs w:val="16"/>
    </w:rPr>
  </w:style>
  <w:style w:type="character" w:styleId="HeaderChar" w:customStyle="1">
    <w:name w:val="Header Char"/>
    <w:basedOn w:val="DefaultParagraphFont"/>
    <w:link w:val="Header"/>
    <w:uiPriority w:val="99"/>
    <w:qFormat/>
    <w:rsid w:val="001705dc"/>
    <w:rPr>
      <w:rFonts w:ascii="Arial" w:hAnsi="Arial"/>
    </w:rPr>
  </w:style>
  <w:style w:type="character" w:styleId="FooterChar" w:customStyle="1">
    <w:name w:val="Footer Char"/>
    <w:basedOn w:val="DefaultParagraphFont"/>
    <w:link w:val="Footer"/>
    <w:uiPriority w:val="99"/>
    <w:qFormat/>
    <w:rsid w:val="001705dc"/>
    <w:rPr>
      <w:rFonts w:ascii="Arial" w:hAnsi="Arial"/>
    </w:rPr>
  </w:style>
  <w:style w:type="character" w:styleId="InternetLink">
    <w:name w:val="Internet Link"/>
    <w:basedOn w:val="DefaultParagraphFont"/>
    <w:uiPriority w:val="99"/>
    <w:unhideWhenUsed/>
    <w:rsid w:val="00e82992"/>
    <w:rPr>
      <w:color w:val="0000FF" w:themeColor="hyperlink"/>
      <w:u w:val="single"/>
    </w:rPr>
  </w:style>
  <w:style w:type="character" w:styleId="DefaultChar" w:customStyle="1">
    <w:name w:val="Default Char"/>
    <w:link w:val="Default"/>
    <w:qFormat/>
    <w:rsid w:val="009a3995"/>
    <w:rPr>
      <w:rFonts w:ascii="Calibri" w:hAnsi="Calibri" w:cs="Calibri"/>
      <w:color w:val="000000"/>
      <w:sz w:val="24"/>
      <w:szCs w:val="24"/>
    </w:rPr>
  </w:style>
  <w:style w:type="character" w:styleId="Strong">
    <w:name w:val="Strong"/>
    <w:basedOn w:val="DefaultParagraphFont"/>
    <w:uiPriority w:val="22"/>
    <w:qFormat/>
    <w:rsid w:val="001149c5"/>
    <w:rPr>
      <w:b/>
      <w:bCs/>
    </w:rPr>
  </w:style>
  <w:style w:type="character" w:styleId="Heading3Char" w:customStyle="1">
    <w:name w:val="Heading 3 Char"/>
    <w:basedOn w:val="DefaultParagraphFont"/>
    <w:link w:val="Heading3"/>
    <w:uiPriority w:val="9"/>
    <w:semiHidden/>
    <w:qFormat/>
    <w:rsid w:val="007f41ee"/>
    <w:rPr>
      <w:rFonts w:ascii="Cambria" w:hAnsi="Cambria" w:eastAsia="" w:cs="" w:asciiTheme="majorHAnsi" w:cstheme="majorBidi" w:eastAsiaTheme="majorEastAsia" w:hAnsiTheme="majorHAnsi"/>
      <w:b/>
      <w:bCs/>
      <w:color w:val="4F81BD" w:themeColor="accent1"/>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Arial"/>
      <w:sz w:val="22"/>
    </w:rPr>
  </w:style>
  <w:style w:type="character" w:styleId="ListLabel5">
    <w:name w:val="ListLabel 5"/>
    <w:qFormat/>
    <w:rPr>
      <w:rFonts w:cs="Courier New"/>
    </w:rPr>
  </w:style>
  <w:style w:type="character" w:styleId="ListLabel6">
    <w:name w:val="ListLabel 6"/>
    <w:qFormat/>
    <w:rPr>
      <w:rFonts w:cs="Wingdings"/>
    </w:rPr>
  </w:style>
  <w:style w:type="character" w:styleId="ListLabel7">
    <w:name w:val="ListLabel 7"/>
    <w:qFormat/>
    <w:rPr>
      <w:rFonts w:cs="Symbol"/>
    </w:rPr>
  </w:style>
  <w:style w:type="character" w:styleId="ListLabel8">
    <w:name w:val="ListLabel 8"/>
    <w:qFormat/>
    <w:rPr>
      <w:rFonts w:cs="Courier New"/>
    </w:rPr>
  </w:style>
  <w:style w:type="character" w:styleId="ListLabel9">
    <w:name w:val="ListLabel 9"/>
    <w:qFormat/>
    <w:rPr>
      <w:rFonts w:cs="Wingdings"/>
    </w:rPr>
  </w:style>
  <w:style w:type="character" w:styleId="ListLabel10">
    <w:name w:val="ListLabel 10"/>
    <w:qFormat/>
    <w:rPr>
      <w:rFonts w:cs="Symbol"/>
    </w:rPr>
  </w:style>
  <w:style w:type="character" w:styleId="ListLabel11">
    <w:name w:val="ListLabel 11"/>
    <w:qFormat/>
    <w:rPr>
      <w:rFonts w:cs="Courier New"/>
    </w:rPr>
  </w:style>
  <w:style w:type="character" w:styleId="ListLabel12">
    <w:name w:val="ListLabel 12"/>
    <w:qFormat/>
    <w:rPr>
      <w:rFonts w:cs="Wingdings"/>
    </w:rPr>
  </w:style>
  <w:style w:type="character" w:styleId="ListLabel13">
    <w:name w:val="ListLabel 13"/>
    <w:qFormat/>
    <w:rPr>
      <w:rFonts w:cs="Symbol"/>
      <w:color w:val="00000A"/>
      <w:sz w:val="22"/>
    </w:rPr>
  </w:style>
  <w:style w:type="character" w:styleId="ListLabel14">
    <w:name w:val="ListLabel 14"/>
    <w:qFormat/>
    <w:rPr>
      <w:rFonts w:cs="Courier New"/>
      <w:sz w:val="20"/>
    </w:rPr>
  </w:style>
  <w:style w:type="character" w:styleId="ListLabel15">
    <w:name w:val="ListLabel 15"/>
    <w:qFormat/>
    <w:rPr>
      <w:rFonts w:cs="Wingdings"/>
      <w:sz w:val="20"/>
    </w:rPr>
  </w:style>
  <w:style w:type="character" w:styleId="ListLabel16">
    <w:name w:val="ListLabel 16"/>
    <w:qFormat/>
    <w:rPr>
      <w:rFonts w:cs="Wingdings"/>
      <w:sz w:val="20"/>
    </w:rPr>
  </w:style>
  <w:style w:type="character" w:styleId="ListLabel17">
    <w:name w:val="ListLabel 17"/>
    <w:qFormat/>
    <w:rPr>
      <w:rFonts w:cs="Wingdings"/>
      <w:sz w:val="20"/>
    </w:rPr>
  </w:style>
  <w:style w:type="character" w:styleId="ListLabel18">
    <w:name w:val="ListLabel 18"/>
    <w:qFormat/>
    <w:rPr>
      <w:rFonts w:cs="Wingdings"/>
      <w:sz w:val="20"/>
    </w:rPr>
  </w:style>
  <w:style w:type="character" w:styleId="ListLabel19">
    <w:name w:val="ListLabel 19"/>
    <w:qFormat/>
    <w:rPr>
      <w:rFonts w:cs="Wingdings"/>
      <w:sz w:val="20"/>
    </w:rPr>
  </w:style>
  <w:style w:type="character" w:styleId="ListLabel20">
    <w:name w:val="ListLabel 20"/>
    <w:qFormat/>
    <w:rPr>
      <w:rFonts w:cs="Wingdings"/>
      <w:sz w:val="20"/>
    </w:rPr>
  </w:style>
  <w:style w:type="character" w:styleId="ListLabel21">
    <w:name w:val="ListLabel 21"/>
    <w:qFormat/>
    <w:rPr>
      <w:rFonts w:cs="Wingdings"/>
      <w:sz w:val="20"/>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sz w:val="20"/>
    </w:rPr>
  </w:style>
  <w:style w:type="character" w:styleId="ListLabel27">
    <w:name w:val="ListLabel 27"/>
    <w:qFormat/>
    <w:rPr>
      <w:sz w:val="20"/>
    </w:rPr>
  </w:style>
  <w:style w:type="character" w:styleId="ListLabel28">
    <w:name w:val="ListLabel 28"/>
    <w:qFormat/>
    <w:rPr>
      <w:sz w:val="20"/>
    </w:rPr>
  </w:style>
  <w:style w:type="character" w:styleId="ListLabel29">
    <w:name w:val="ListLabel 29"/>
    <w:qFormat/>
    <w:rPr>
      <w:sz w:val="20"/>
    </w:rPr>
  </w:style>
  <w:style w:type="character" w:styleId="ListLabel30">
    <w:name w:val="ListLabel 30"/>
    <w:qFormat/>
    <w:rPr>
      <w:sz w:val="20"/>
    </w:rPr>
  </w:style>
  <w:style w:type="character" w:styleId="ListLabel31">
    <w:name w:val="ListLabel 31"/>
    <w:qFormat/>
    <w:rPr>
      <w:sz w:val="20"/>
    </w:rPr>
  </w:style>
  <w:style w:type="character" w:styleId="ListLabel32">
    <w:name w:val="ListLabel 32"/>
    <w:qFormat/>
    <w:rPr>
      <w:sz w:val="20"/>
    </w:rPr>
  </w:style>
  <w:style w:type="character" w:styleId="ListLabel33">
    <w:name w:val="ListLabel 33"/>
    <w:qFormat/>
    <w:rPr>
      <w:sz w:val="20"/>
    </w:rPr>
  </w:style>
  <w:style w:type="character" w:styleId="ListLabel34">
    <w:name w:val="ListLabel 34"/>
    <w:qFormat/>
    <w:rPr>
      <w:sz w:val="20"/>
    </w:rPr>
  </w:style>
  <w:style w:type="character" w:styleId="ListLabel35">
    <w:name w:val="ListLabel 35"/>
    <w:qFormat/>
    <w:rPr>
      <w:sz w:val="20"/>
    </w:rPr>
  </w:style>
  <w:style w:type="character" w:styleId="ListLabel36">
    <w:name w:val="ListLabel 36"/>
    <w:qFormat/>
    <w:rPr>
      <w:sz w:val="20"/>
    </w:rPr>
  </w:style>
  <w:style w:type="character" w:styleId="ListLabel37">
    <w:name w:val="ListLabel 37"/>
    <w:qFormat/>
    <w:rPr>
      <w:sz w:val="20"/>
    </w:rPr>
  </w:style>
  <w:style w:type="character" w:styleId="ListLabel38">
    <w:name w:val="ListLabel 38"/>
    <w:qFormat/>
    <w:rPr>
      <w:sz w:val="20"/>
    </w:rPr>
  </w:style>
  <w:style w:type="character" w:styleId="ListLabel39">
    <w:name w:val="ListLabel 39"/>
    <w:qFormat/>
    <w:rPr>
      <w:sz w:val="20"/>
    </w:rPr>
  </w:style>
  <w:style w:type="character" w:styleId="ListLabel40">
    <w:name w:val="ListLabel 40"/>
    <w:qFormat/>
    <w:rPr>
      <w:sz w:val="20"/>
    </w:rPr>
  </w:style>
  <w:style w:type="character" w:styleId="ListLabel41">
    <w:name w:val="ListLabel 41"/>
    <w:qFormat/>
    <w:rPr>
      <w:sz w:val="20"/>
    </w:rPr>
  </w:style>
  <w:style w:type="character" w:styleId="ListLabel42">
    <w:name w:val="ListLabel 42"/>
    <w:qFormat/>
    <w:rPr>
      <w:sz w:val="20"/>
    </w:rPr>
  </w:style>
  <w:style w:type="character" w:styleId="ListLabel43">
    <w:name w:val="ListLabel 43"/>
    <w:qFormat/>
    <w:rPr>
      <w:sz w:val="20"/>
    </w:rPr>
  </w:style>
  <w:style w:type="character" w:styleId="ListLabel44">
    <w:name w:val="ListLabel 44"/>
    <w:qFormat/>
    <w:rPr>
      <w:sz w:val="20"/>
    </w:rPr>
  </w:style>
  <w:style w:type="character" w:styleId="ListLabel45">
    <w:name w:val="ListLabel 45"/>
    <w:qFormat/>
    <w:rPr>
      <w:sz w:val="20"/>
    </w:rPr>
  </w:style>
  <w:style w:type="character" w:styleId="ListLabel46">
    <w:name w:val="ListLabel 46"/>
    <w:qFormat/>
    <w:rPr>
      <w:sz w:val="20"/>
    </w:rPr>
  </w:style>
  <w:style w:type="character" w:styleId="ListLabel47">
    <w:name w:val="ListLabel 47"/>
    <w:qFormat/>
    <w:rPr>
      <w:sz w:val="20"/>
    </w:rPr>
  </w:style>
  <w:style w:type="character" w:styleId="ListLabel48">
    <w:name w:val="ListLabel 48"/>
    <w:qFormat/>
    <w:rPr>
      <w:sz w:val="20"/>
    </w:rPr>
  </w:style>
  <w:style w:type="character" w:styleId="IndexLink">
    <w:name w:val="Index Link"/>
    <w:qFormat/>
    <w:rPr/>
  </w:style>
  <w:style w:type="character" w:styleId="ListLabel49">
    <w:name w:val="ListLabel 49"/>
    <w:qFormat/>
    <w:rPr>
      <w:rFonts w:cs="Symbol"/>
    </w:rPr>
  </w:style>
  <w:style w:type="character" w:styleId="ListLabel50">
    <w:name w:val="ListLabel 50"/>
    <w:qFormat/>
    <w:rPr>
      <w:rFonts w:cs="Courier New"/>
    </w:rPr>
  </w:style>
  <w:style w:type="character" w:styleId="ListLabel51">
    <w:name w:val="ListLabel 51"/>
    <w:qFormat/>
    <w:rPr>
      <w:rFonts w:cs="Wingdings"/>
    </w:rPr>
  </w:style>
  <w:style w:type="character" w:styleId="ListLabel52">
    <w:name w:val="ListLabel 52"/>
    <w:qFormat/>
    <w:rPr>
      <w:rFonts w:cs="Symbol"/>
    </w:rPr>
  </w:style>
  <w:style w:type="character" w:styleId="ListLabel53">
    <w:name w:val="ListLabel 53"/>
    <w:qFormat/>
    <w:rPr>
      <w:rFonts w:cs="Courier New"/>
    </w:rPr>
  </w:style>
  <w:style w:type="character" w:styleId="ListLabel54">
    <w:name w:val="ListLabel 54"/>
    <w:qFormat/>
    <w:rPr>
      <w:rFonts w:cs="Wingdings"/>
    </w:rPr>
  </w:style>
  <w:style w:type="character" w:styleId="ListLabel55">
    <w:name w:val="ListLabel 55"/>
    <w:qFormat/>
    <w:rPr>
      <w:rFonts w:cs="Symbol"/>
    </w:rPr>
  </w:style>
  <w:style w:type="character" w:styleId="ListLabel56">
    <w:name w:val="ListLabel 56"/>
    <w:qFormat/>
    <w:rPr>
      <w:rFonts w:cs="Courier New"/>
    </w:rPr>
  </w:style>
  <w:style w:type="character" w:styleId="ListLabel57">
    <w:name w:val="ListLabel 57"/>
    <w:qFormat/>
    <w:rPr>
      <w:rFonts w:cs="Wingdings"/>
    </w:rPr>
  </w:style>
  <w:style w:type="character" w:styleId="ListLabel58">
    <w:name w:val="ListLabel 58"/>
    <w:qFormat/>
    <w:rPr>
      <w:rFonts w:cs="Arial"/>
      <w:sz w:val="22"/>
    </w:rPr>
  </w:style>
  <w:style w:type="character" w:styleId="ListLabel59">
    <w:name w:val="ListLabel 59"/>
    <w:qFormat/>
    <w:rPr>
      <w:rFonts w:cs="Courier New"/>
    </w:rPr>
  </w:style>
  <w:style w:type="character" w:styleId="ListLabel60">
    <w:name w:val="ListLabel 60"/>
    <w:qFormat/>
    <w:rPr>
      <w:rFonts w:cs="Wingdings"/>
    </w:rPr>
  </w:style>
  <w:style w:type="character" w:styleId="ListLabel61">
    <w:name w:val="ListLabel 61"/>
    <w:qFormat/>
    <w:rPr>
      <w:rFonts w:cs="Symbol"/>
    </w:rPr>
  </w:style>
  <w:style w:type="character" w:styleId="ListLabel62">
    <w:name w:val="ListLabel 62"/>
    <w:qFormat/>
    <w:rPr>
      <w:rFonts w:cs="Courier New"/>
    </w:rPr>
  </w:style>
  <w:style w:type="character" w:styleId="ListLabel63">
    <w:name w:val="ListLabel 63"/>
    <w:qFormat/>
    <w:rPr>
      <w:rFonts w:cs="Wingdings"/>
    </w:rPr>
  </w:style>
  <w:style w:type="character" w:styleId="ListLabel64">
    <w:name w:val="ListLabel 64"/>
    <w:qFormat/>
    <w:rPr>
      <w:rFonts w:cs="Symbol"/>
    </w:rPr>
  </w:style>
  <w:style w:type="character" w:styleId="ListLabel65">
    <w:name w:val="ListLabel 65"/>
    <w:qFormat/>
    <w:rPr>
      <w:rFonts w:cs="Courier New"/>
    </w:rPr>
  </w:style>
  <w:style w:type="character" w:styleId="ListLabel66">
    <w:name w:val="ListLabel 66"/>
    <w:qFormat/>
    <w:rPr>
      <w:rFonts w:cs="Wingdings"/>
    </w:rPr>
  </w:style>
  <w:style w:type="character" w:styleId="ListLabel67">
    <w:name w:val="ListLabel 67"/>
    <w:qFormat/>
    <w:rPr>
      <w:rFonts w:cs="Symbol"/>
      <w:color w:val="00000A"/>
      <w:sz w:val="22"/>
    </w:rPr>
  </w:style>
  <w:style w:type="character" w:styleId="ListLabel68">
    <w:name w:val="ListLabel 68"/>
    <w:qFormat/>
    <w:rPr>
      <w:rFonts w:cs="Courier New"/>
      <w:sz w:val="20"/>
    </w:rPr>
  </w:style>
  <w:style w:type="character" w:styleId="ListLabel69">
    <w:name w:val="ListLabel 69"/>
    <w:qFormat/>
    <w:rPr>
      <w:rFonts w:cs="Wingdings"/>
      <w:sz w:val="20"/>
    </w:rPr>
  </w:style>
  <w:style w:type="character" w:styleId="ListLabel70">
    <w:name w:val="ListLabel 70"/>
    <w:qFormat/>
    <w:rPr>
      <w:rFonts w:cs="Wingdings"/>
      <w:sz w:val="20"/>
    </w:rPr>
  </w:style>
  <w:style w:type="character" w:styleId="ListLabel71">
    <w:name w:val="ListLabel 71"/>
    <w:qFormat/>
    <w:rPr>
      <w:rFonts w:cs="Wingdings"/>
      <w:sz w:val="20"/>
    </w:rPr>
  </w:style>
  <w:style w:type="character" w:styleId="ListLabel72">
    <w:name w:val="ListLabel 72"/>
    <w:qFormat/>
    <w:rPr>
      <w:rFonts w:cs="Wingdings"/>
      <w:sz w:val="20"/>
    </w:rPr>
  </w:style>
  <w:style w:type="character" w:styleId="ListLabel73">
    <w:name w:val="ListLabel 73"/>
    <w:qFormat/>
    <w:rPr>
      <w:rFonts w:cs="Wingdings"/>
      <w:sz w:val="20"/>
    </w:rPr>
  </w:style>
  <w:style w:type="character" w:styleId="ListLabel74">
    <w:name w:val="ListLabel 74"/>
    <w:qFormat/>
    <w:rPr>
      <w:rFonts w:cs="Wingdings"/>
      <w:sz w:val="20"/>
    </w:rPr>
  </w:style>
  <w:style w:type="character" w:styleId="ListLabel75">
    <w:name w:val="ListLabel 75"/>
    <w:qFormat/>
    <w:rPr>
      <w:rFonts w:cs="Wingdings"/>
      <w:sz w:val="20"/>
    </w:rPr>
  </w:style>
  <w:style w:type="character" w:styleId="ListLabel76">
    <w:name w:val="ListLabel 76"/>
    <w:qFormat/>
    <w:rPr>
      <w:rFonts w:cs="Symbol"/>
      <w:sz w:val="20"/>
    </w:rPr>
  </w:style>
  <w:style w:type="character" w:styleId="ListLabel77">
    <w:name w:val="ListLabel 77"/>
    <w:qFormat/>
    <w:rPr>
      <w:rFonts w:cs="Courier New"/>
      <w:sz w:val="20"/>
    </w:rPr>
  </w:style>
  <w:style w:type="character" w:styleId="ListLabel78">
    <w:name w:val="ListLabel 78"/>
    <w:qFormat/>
    <w:rPr>
      <w:rFonts w:cs="Wingdings"/>
      <w:sz w:val="20"/>
    </w:rPr>
  </w:style>
  <w:style w:type="character" w:styleId="ListLabel79">
    <w:name w:val="ListLabel 79"/>
    <w:qFormat/>
    <w:rPr>
      <w:rFonts w:cs="Wingdings"/>
      <w:sz w:val="20"/>
    </w:rPr>
  </w:style>
  <w:style w:type="character" w:styleId="ListLabel80">
    <w:name w:val="ListLabel 80"/>
    <w:qFormat/>
    <w:rPr>
      <w:rFonts w:cs="Wingdings"/>
      <w:sz w:val="20"/>
    </w:rPr>
  </w:style>
  <w:style w:type="character" w:styleId="ListLabel81">
    <w:name w:val="ListLabel 81"/>
    <w:qFormat/>
    <w:rPr>
      <w:rFonts w:cs="Wingdings"/>
      <w:sz w:val="20"/>
    </w:rPr>
  </w:style>
  <w:style w:type="character" w:styleId="ListLabel82">
    <w:name w:val="ListLabel 82"/>
    <w:qFormat/>
    <w:rPr>
      <w:rFonts w:cs="Wingdings"/>
      <w:sz w:val="20"/>
    </w:rPr>
  </w:style>
  <w:style w:type="character" w:styleId="ListLabel83">
    <w:name w:val="ListLabel 83"/>
    <w:qFormat/>
    <w:rPr>
      <w:rFonts w:cs="Wingdings"/>
      <w:sz w:val="20"/>
    </w:rPr>
  </w:style>
  <w:style w:type="character" w:styleId="ListLabel84">
    <w:name w:val="ListLabel 84"/>
    <w:qFormat/>
    <w:rPr>
      <w:rFonts w:cs="Wingdings"/>
      <w:sz w:val="20"/>
    </w:rPr>
  </w:style>
  <w:style w:type="character" w:styleId="ListLabel85">
    <w:name w:val="ListLabel 85"/>
    <w:qFormat/>
    <w:rPr>
      <w:rFonts w:cs="Symbol"/>
      <w:sz w:val="20"/>
    </w:rPr>
  </w:style>
  <w:style w:type="character" w:styleId="ListLabel86">
    <w:name w:val="ListLabel 86"/>
    <w:qFormat/>
    <w:rPr>
      <w:rFonts w:cs="Courier New"/>
      <w:sz w:val="20"/>
    </w:rPr>
  </w:style>
  <w:style w:type="character" w:styleId="ListLabel87">
    <w:name w:val="ListLabel 87"/>
    <w:qFormat/>
    <w:rPr>
      <w:rFonts w:cs="Wingdings"/>
      <w:sz w:val="20"/>
    </w:rPr>
  </w:style>
  <w:style w:type="character" w:styleId="ListLabel88">
    <w:name w:val="ListLabel 88"/>
    <w:qFormat/>
    <w:rPr>
      <w:rFonts w:cs="Wingdings"/>
      <w:sz w:val="20"/>
    </w:rPr>
  </w:style>
  <w:style w:type="character" w:styleId="ListLabel89">
    <w:name w:val="ListLabel 89"/>
    <w:qFormat/>
    <w:rPr>
      <w:rFonts w:cs="Wingdings"/>
      <w:sz w:val="20"/>
    </w:rPr>
  </w:style>
  <w:style w:type="character" w:styleId="ListLabel90">
    <w:name w:val="ListLabel 90"/>
    <w:qFormat/>
    <w:rPr>
      <w:rFonts w:cs="Wingdings"/>
      <w:sz w:val="20"/>
    </w:rPr>
  </w:style>
  <w:style w:type="character" w:styleId="ListLabel91">
    <w:name w:val="ListLabel 91"/>
    <w:qFormat/>
    <w:rPr>
      <w:rFonts w:cs="Wingdings"/>
      <w:sz w:val="20"/>
    </w:rPr>
  </w:style>
  <w:style w:type="character" w:styleId="ListLabel92">
    <w:name w:val="ListLabel 92"/>
    <w:qFormat/>
    <w:rPr>
      <w:rFonts w:cs="Wingdings"/>
      <w:sz w:val="20"/>
    </w:rPr>
  </w:style>
  <w:style w:type="character" w:styleId="ListLabel93">
    <w:name w:val="ListLabel 93"/>
    <w:qFormat/>
    <w:rPr>
      <w:rFonts w:cs="Wingdings"/>
      <w:sz w:val="20"/>
    </w:rPr>
  </w:style>
  <w:style w:type="character" w:styleId="ListLabel94">
    <w:name w:val="ListLabel 94"/>
    <w:qFormat/>
    <w:rPr>
      <w:rFonts w:cs="Symbol"/>
      <w:sz w:val="20"/>
    </w:rPr>
  </w:style>
  <w:style w:type="character" w:styleId="ListLabel95">
    <w:name w:val="ListLabel 95"/>
    <w:qFormat/>
    <w:rPr>
      <w:rFonts w:cs="Courier New"/>
      <w:sz w:val="20"/>
    </w:rPr>
  </w:style>
  <w:style w:type="character" w:styleId="ListLabel96">
    <w:name w:val="ListLabel 96"/>
    <w:qFormat/>
    <w:rPr>
      <w:rFonts w:cs="Wingdings"/>
      <w:sz w:val="20"/>
    </w:rPr>
  </w:style>
  <w:style w:type="character" w:styleId="ListLabel97">
    <w:name w:val="ListLabel 97"/>
    <w:qFormat/>
    <w:rPr>
      <w:rFonts w:cs="Wingdings"/>
      <w:sz w:val="20"/>
    </w:rPr>
  </w:style>
  <w:style w:type="character" w:styleId="ListLabel98">
    <w:name w:val="ListLabel 98"/>
    <w:qFormat/>
    <w:rPr>
      <w:rFonts w:cs="Wingdings"/>
      <w:sz w:val="20"/>
    </w:rPr>
  </w:style>
  <w:style w:type="character" w:styleId="ListLabel99">
    <w:name w:val="ListLabel 99"/>
    <w:qFormat/>
    <w:rPr>
      <w:rFonts w:cs="Wingdings"/>
      <w:sz w:val="20"/>
    </w:rPr>
  </w:style>
  <w:style w:type="character" w:styleId="ListLabel100">
    <w:name w:val="ListLabel 100"/>
    <w:qFormat/>
    <w:rPr>
      <w:rFonts w:cs="Wingdings"/>
      <w:sz w:val="20"/>
    </w:rPr>
  </w:style>
  <w:style w:type="character" w:styleId="ListLabel101">
    <w:name w:val="ListLabel 101"/>
    <w:qFormat/>
    <w:rPr>
      <w:rFonts w:cs="Wingdings"/>
      <w:sz w:val="20"/>
    </w:rPr>
  </w:style>
  <w:style w:type="character" w:styleId="ListLabel102">
    <w:name w:val="ListLabel 102"/>
    <w:qFormat/>
    <w:rPr>
      <w:rFonts w:cs="Wingdings"/>
      <w:sz w:val="20"/>
    </w:rPr>
  </w:style>
  <w:style w:type="character" w:styleId="ListLabel103">
    <w:name w:val="ListLabel 103"/>
    <w:qFormat/>
    <w:rPr>
      <w:rFonts w:cs="Symbol"/>
    </w:rPr>
  </w:style>
  <w:style w:type="character" w:styleId="ListLabel104">
    <w:name w:val="ListLabel 104"/>
    <w:qFormat/>
    <w:rPr>
      <w:rFonts w:cs="Courier New"/>
    </w:rPr>
  </w:style>
  <w:style w:type="character" w:styleId="ListLabel105">
    <w:name w:val="ListLabel 105"/>
    <w:qFormat/>
    <w:rPr>
      <w:rFonts w:cs="Wingdings"/>
    </w:rPr>
  </w:style>
  <w:style w:type="character" w:styleId="ListLabel106">
    <w:name w:val="ListLabel 106"/>
    <w:qFormat/>
    <w:rPr>
      <w:rFonts w:cs="Symbol"/>
    </w:rPr>
  </w:style>
  <w:style w:type="character" w:styleId="ListLabel107">
    <w:name w:val="ListLabel 107"/>
    <w:qFormat/>
    <w:rPr>
      <w:rFonts w:cs="Courier New"/>
    </w:rPr>
  </w:style>
  <w:style w:type="character" w:styleId="ListLabel108">
    <w:name w:val="ListLabel 108"/>
    <w:qFormat/>
    <w:rPr>
      <w:rFonts w:cs="Wingdings"/>
    </w:rPr>
  </w:style>
  <w:style w:type="character" w:styleId="ListLabel109">
    <w:name w:val="ListLabel 109"/>
    <w:qFormat/>
    <w:rPr>
      <w:rFonts w:cs="Symbol"/>
    </w:rPr>
  </w:style>
  <w:style w:type="character" w:styleId="ListLabel110">
    <w:name w:val="ListLabel 110"/>
    <w:qFormat/>
    <w:rPr>
      <w:rFonts w:cs="Courier New"/>
    </w:rPr>
  </w:style>
  <w:style w:type="character" w:styleId="ListLabel111">
    <w:name w:val="ListLabel 111"/>
    <w:qFormat/>
    <w:rPr>
      <w:rFonts w:cs="Wingdings"/>
    </w:rPr>
  </w:style>
  <w:style w:type="character" w:styleId="ListLabel112">
    <w:name w:val="ListLabel 112"/>
    <w:qFormat/>
    <w:rPr>
      <w:rFonts w:cs="Arial"/>
      <w:sz w:val="22"/>
    </w:rPr>
  </w:style>
  <w:style w:type="character" w:styleId="ListLabel113">
    <w:name w:val="ListLabel 113"/>
    <w:qFormat/>
    <w:rPr>
      <w:rFonts w:cs="Courier New"/>
    </w:rPr>
  </w:style>
  <w:style w:type="character" w:styleId="ListLabel114">
    <w:name w:val="ListLabel 114"/>
    <w:qFormat/>
    <w:rPr>
      <w:rFonts w:cs="Wingdings"/>
    </w:rPr>
  </w:style>
  <w:style w:type="character" w:styleId="ListLabel115">
    <w:name w:val="ListLabel 115"/>
    <w:qFormat/>
    <w:rPr>
      <w:rFonts w:cs="Symbol"/>
    </w:rPr>
  </w:style>
  <w:style w:type="character" w:styleId="ListLabel116">
    <w:name w:val="ListLabel 116"/>
    <w:qFormat/>
    <w:rPr>
      <w:rFonts w:cs="Courier New"/>
    </w:rPr>
  </w:style>
  <w:style w:type="character" w:styleId="ListLabel117">
    <w:name w:val="ListLabel 117"/>
    <w:qFormat/>
    <w:rPr>
      <w:rFonts w:cs="Wingdings"/>
    </w:rPr>
  </w:style>
  <w:style w:type="character" w:styleId="ListLabel118">
    <w:name w:val="ListLabel 118"/>
    <w:qFormat/>
    <w:rPr>
      <w:rFonts w:cs="Symbol"/>
    </w:rPr>
  </w:style>
  <w:style w:type="character" w:styleId="ListLabel119">
    <w:name w:val="ListLabel 119"/>
    <w:qFormat/>
    <w:rPr>
      <w:rFonts w:cs="Courier New"/>
    </w:rPr>
  </w:style>
  <w:style w:type="character" w:styleId="ListLabel120">
    <w:name w:val="ListLabel 120"/>
    <w:qFormat/>
    <w:rPr>
      <w:rFonts w:cs="Wingdings"/>
    </w:rPr>
  </w:style>
  <w:style w:type="character" w:styleId="ListLabel121">
    <w:name w:val="ListLabel 121"/>
    <w:qFormat/>
    <w:rPr>
      <w:rFonts w:cs="Symbol"/>
      <w:color w:val="00000A"/>
      <w:sz w:val="22"/>
    </w:rPr>
  </w:style>
  <w:style w:type="character" w:styleId="ListLabel122">
    <w:name w:val="ListLabel 122"/>
    <w:qFormat/>
    <w:rPr>
      <w:rFonts w:cs="Courier New"/>
      <w:sz w:val="20"/>
    </w:rPr>
  </w:style>
  <w:style w:type="character" w:styleId="ListLabel123">
    <w:name w:val="ListLabel 123"/>
    <w:qFormat/>
    <w:rPr>
      <w:rFonts w:cs="Wingdings"/>
      <w:sz w:val="20"/>
    </w:rPr>
  </w:style>
  <w:style w:type="character" w:styleId="ListLabel124">
    <w:name w:val="ListLabel 124"/>
    <w:qFormat/>
    <w:rPr>
      <w:rFonts w:cs="Wingdings"/>
      <w:sz w:val="20"/>
    </w:rPr>
  </w:style>
  <w:style w:type="character" w:styleId="ListLabel125">
    <w:name w:val="ListLabel 125"/>
    <w:qFormat/>
    <w:rPr>
      <w:rFonts w:cs="Wingdings"/>
      <w:sz w:val="20"/>
    </w:rPr>
  </w:style>
  <w:style w:type="character" w:styleId="ListLabel126">
    <w:name w:val="ListLabel 126"/>
    <w:qFormat/>
    <w:rPr>
      <w:rFonts w:cs="Wingdings"/>
      <w:sz w:val="20"/>
    </w:rPr>
  </w:style>
  <w:style w:type="character" w:styleId="ListLabel127">
    <w:name w:val="ListLabel 127"/>
    <w:qFormat/>
    <w:rPr>
      <w:rFonts w:cs="Wingdings"/>
      <w:sz w:val="20"/>
    </w:rPr>
  </w:style>
  <w:style w:type="character" w:styleId="ListLabel128">
    <w:name w:val="ListLabel 128"/>
    <w:qFormat/>
    <w:rPr>
      <w:rFonts w:cs="Wingdings"/>
      <w:sz w:val="20"/>
    </w:rPr>
  </w:style>
  <w:style w:type="character" w:styleId="ListLabel129">
    <w:name w:val="ListLabel 129"/>
    <w:qFormat/>
    <w:rPr>
      <w:rFonts w:cs="Wingdings"/>
      <w:sz w:val="20"/>
    </w:rPr>
  </w:style>
  <w:style w:type="character" w:styleId="ListLabel130">
    <w:name w:val="ListLabel 130"/>
    <w:qFormat/>
    <w:rPr>
      <w:rFonts w:cs="Symbol"/>
      <w:sz w:val="20"/>
    </w:rPr>
  </w:style>
  <w:style w:type="character" w:styleId="ListLabel131">
    <w:name w:val="ListLabel 131"/>
    <w:qFormat/>
    <w:rPr>
      <w:rFonts w:cs="Courier New"/>
      <w:sz w:val="20"/>
    </w:rPr>
  </w:style>
  <w:style w:type="character" w:styleId="ListLabel132">
    <w:name w:val="ListLabel 132"/>
    <w:qFormat/>
    <w:rPr>
      <w:rFonts w:cs="Wingdings"/>
      <w:sz w:val="20"/>
    </w:rPr>
  </w:style>
  <w:style w:type="character" w:styleId="ListLabel133">
    <w:name w:val="ListLabel 133"/>
    <w:qFormat/>
    <w:rPr>
      <w:rFonts w:cs="Wingdings"/>
      <w:sz w:val="20"/>
    </w:rPr>
  </w:style>
  <w:style w:type="character" w:styleId="ListLabel134">
    <w:name w:val="ListLabel 134"/>
    <w:qFormat/>
    <w:rPr>
      <w:rFonts w:cs="Wingdings"/>
      <w:sz w:val="20"/>
    </w:rPr>
  </w:style>
  <w:style w:type="character" w:styleId="ListLabel135">
    <w:name w:val="ListLabel 135"/>
    <w:qFormat/>
    <w:rPr>
      <w:rFonts w:cs="Wingdings"/>
      <w:sz w:val="20"/>
    </w:rPr>
  </w:style>
  <w:style w:type="character" w:styleId="ListLabel136">
    <w:name w:val="ListLabel 136"/>
    <w:qFormat/>
    <w:rPr>
      <w:rFonts w:cs="Wingdings"/>
      <w:sz w:val="20"/>
    </w:rPr>
  </w:style>
  <w:style w:type="character" w:styleId="ListLabel137">
    <w:name w:val="ListLabel 137"/>
    <w:qFormat/>
    <w:rPr>
      <w:rFonts w:cs="Wingdings"/>
      <w:sz w:val="20"/>
    </w:rPr>
  </w:style>
  <w:style w:type="character" w:styleId="ListLabel138">
    <w:name w:val="ListLabel 138"/>
    <w:qFormat/>
    <w:rPr>
      <w:rFonts w:cs="Wingdings"/>
      <w:sz w:val="20"/>
    </w:rPr>
  </w:style>
  <w:style w:type="character" w:styleId="ListLabel139">
    <w:name w:val="ListLabel 139"/>
    <w:qFormat/>
    <w:rPr>
      <w:rFonts w:cs="Symbol"/>
      <w:sz w:val="20"/>
    </w:rPr>
  </w:style>
  <w:style w:type="character" w:styleId="ListLabel140">
    <w:name w:val="ListLabel 140"/>
    <w:qFormat/>
    <w:rPr>
      <w:rFonts w:cs="Courier New"/>
      <w:sz w:val="20"/>
    </w:rPr>
  </w:style>
  <w:style w:type="character" w:styleId="ListLabel141">
    <w:name w:val="ListLabel 141"/>
    <w:qFormat/>
    <w:rPr>
      <w:rFonts w:cs="Wingdings"/>
      <w:sz w:val="20"/>
    </w:rPr>
  </w:style>
  <w:style w:type="character" w:styleId="ListLabel142">
    <w:name w:val="ListLabel 142"/>
    <w:qFormat/>
    <w:rPr>
      <w:rFonts w:cs="Wingdings"/>
      <w:sz w:val="20"/>
    </w:rPr>
  </w:style>
  <w:style w:type="character" w:styleId="ListLabel143">
    <w:name w:val="ListLabel 143"/>
    <w:qFormat/>
    <w:rPr>
      <w:rFonts w:cs="Wingdings"/>
      <w:sz w:val="20"/>
    </w:rPr>
  </w:style>
  <w:style w:type="character" w:styleId="ListLabel144">
    <w:name w:val="ListLabel 144"/>
    <w:qFormat/>
    <w:rPr>
      <w:rFonts w:cs="Wingdings"/>
      <w:sz w:val="20"/>
    </w:rPr>
  </w:style>
  <w:style w:type="character" w:styleId="ListLabel145">
    <w:name w:val="ListLabel 145"/>
    <w:qFormat/>
    <w:rPr>
      <w:rFonts w:cs="Wingdings"/>
      <w:sz w:val="20"/>
    </w:rPr>
  </w:style>
  <w:style w:type="character" w:styleId="ListLabel146">
    <w:name w:val="ListLabel 146"/>
    <w:qFormat/>
    <w:rPr>
      <w:rFonts w:cs="Wingdings"/>
      <w:sz w:val="20"/>
    </w:rPr>
  </w:style>
  <w:style w:type="character" w:styleId="ListLabel147">
    <w:name w:val="ListLabel 147"/>
    <w:qFormat/>
    <w:rPr>
      <w:rFonts w:cs="Wingdings"/>
      <w:sz w:val="20"/>
    </w:rPr>
  </w:style>
  <w:style w:type="character" w:styleId="ListLabel148">
    <w:name w:val="ListLabel 148"/>
    <w:qFormat/>
    <w:rPr>
      <w:rFonts w:cs="Symbol"/>
      <w:sz w:val="20"/>
    </w:rPr>
  </w:style>
  <w:style w:type="character" w:styleId="ListLabel149">
    <w:name w:val="ListLabel 149"/>
    <w:qFormat/>
    <w:rPr>
      <w:rFonts w:cs="Courier New"/>
      <w:sz w:val="20"/>
    </w:rPr>
  </w:style>
  <w:style w:type="character" w:styleId="ListLabel150">
    <w:name w:val="ListLabel 150"/>
    <w:qFormat/>
    <w:rPr>
      <w:rFonts w:cs="Wingdings"/>
      <w:sz w:val="20"/>
    </w:rPr>
  </w:style>
  <w:style w:type="character" w:styleId="ListLabel151">
    <w:name w:val="ListLabel 151"/>
    <w:qFormat/>
    <w:rPr>
      <w:rFonts w:cs="Wingdings"/>
      <w:sz w:val="20"/>
    </w:rPr>
  </w:style>
  <w:style w:type="character" w:styleId="ListLabel152">
    <w:name w:val="ListLabel 152"/>
    <w:qFormat/>
    <w:rPr>
      <w:rFonts w:cs="Wingdings"/>
      <w:sz w:val="20"/>
    </w:rPr>
  </w:style>
  <w:style w:type="character" w:styleId="ListLabel153">
    <w:name w:val="ListLabel 153"/>
    <w:qFormat/>
    <w:rPr>
      <w:rFonts w:cs="Wingdings"/>
      <w:sz w:val="20"/>
    </w:rPr>
  </w:style>
  <w:style w:type="character" w:styleId="ListLabel154">
    <w:name w:val="ListLabel 154"/>
    <w:qFormat/>
    <w:rPr>
      <w:rFonts w:cs="Wingdings"/>
      <w:sz w:val="20"/>
    </w:rPr>
  </w:style>
  <w:style w:type="character" w:styleId="ListLabel155">
    <w:name w:val="ListLabel 155"/>
    <w:qFormat/>
    <w:rPr>
      <w:rFonts w:cs="Wingdings"/>
      <w:sz w:val="20"/>
    </w:rPr>
  </w:style>
  <w:style w:type="character" w:styleId="ListLabel156">
    <w:name w:val="ListLabel 156"/>
    <w:qFormat/>
    <w:rPr>
      <w:rFonts w:cs="Wingdings"/>
      <w:sz w:val="20"/>
    </w:rPr>
  </w:style>
  <w:style w:type="character" w:styleId="ListLabel157">
    <w:name w:val="ListLabel 157"/>
    <w:qFormat/>
    <w:rPr>
      <w:rFonts w:cs="Symbol"/>
    </w:rPr>
  </w:style>
  <w:style w:type="character" w:styleId="ListLabel158">
    <w:name w:val="ListLabel 158"/>
    <w:qFormat/>
    <w:rPr>
      <w:rFonts w:cs="Courier New"/>
    </w:rPr>
  </w:style>
  <w:style w:type="character" w:styleId="ListLabel159">
    <w:name w:val="ListLabel 159"/>
    <w:qFormat/>
    <w:rPr>
      <w:rFonts w:cs="Wingdings"/>
    </w:rPr>
  </w:style>
  <w:style w:type="character" w:styleId="ListLabel160">
    <w:name w:val="ListLabel 160"/>
    <w:qFormat/>
    <w:rPr>
      <w:rFonts w:cs="Symbol"/>
    </w:rPr>
  </w:style>
  <w:style w:type="character" w:styleId="ListLabel161">
    <w:name w:val="ListLabel 161"/>
    <w:qFormat/>
    <w:rPr>
      <w:rFonts w:cs="Courier New"/>
    </w:rPr>
  </w:style>
  <w:style w:type="character" w:styleId="ListLabel162">
    <w:name w:val="ListLabel 162"/>
    <w:qFormat/>
    <w:rPr>
      <w:rFonts w:cs="Wingdings"/>
    </w:rPr>
  </w:style>
  <w:style w:type="character" w:styleId="ListLabel163">
    <w:name w:val="ListLabel 163"/>
    <w:qFormat/>
    <w:rPr>
      <w:rFonts w:cs="Symbol"/>
    </w:rPr>
  </w:style>
  <w:style w:type="character" w:styleId="ListLabel164">
    <w:name w:val="ListLabel 164"/>
    <w:qFormat/>
    <w:rPr>
      <w:rFonts w:cs="Courier New"/>
    </w:rPr>
  </w:style>
  <w:style w:type="character" w:styleId="ListLabel165">
    <w:name w:val="ListLabel 165"/>
    <w:qFormat/>
    <w:rPr>
      <w:rFonts w:cs="Wingdings"/>
    </w:rPr>
  </w:style>
  <w:style w:type="character" w:styleId="ListLabel166">
    <w:name w:val="ListLabel 166"/>
    <w:qFormat/>
    <w:rPr>
      <w:rFonts w:cs="Arial"/>
      <w:sz w:val="22"/>
    </w:rPr>
  </w:style>
  <w:style w:type="character" w:styleId="ListLabel167">
    <w:name w:val="ListLabel 167"/>
    <w:qFormat/>
    <w:rPr>
      <w:rFonts w:cs="Courier New"/>
    </w:rPr>
  </w:style>
  <w:style w:type="character" w:styleId="ListLabel168">
    <w:name w:val="ListLabel 168"/>
    <w:qFormat/>
    <w:rPr>
      <w:rFonts w:cs="Wingdings"/>
    </w:rPr>
  </w:style>
  <w:style w:type="character" w:styleId="ListLabel169">
    <w:name w:val="ListLabel 169"/>
    <w:qFormat/>
    <w:rPr>
      <w:rFonts w:cs="Symbol"/>
    </w:rPr>
  </w:style>
  <w:style w:type="character" w:styleId="ListLabel170">
    <w:name w:val="ListLabel 170"/>
    <w:qFormat/>
    <w:rPr>
      <w:rFonts w:cs="Courier New"/>
    </w:rPr>
  </w:style>
  <w:style w:type="character" w:styleId="ListLabel171">
    <w:name w:val="ListLabel 171"/>
    <w:qFormat/>
    <w:rPr>
      <w:rFonts w:cs="Wingdings"/>
    </w:rPr>
  </w:style>
  <w:style w:type="character" w:styleId="ListLabel172">
    <w:name w:val="ListLabel 172"/>
    <w:qFormat/>
    <w:rPr>
      <w:rFonts w:cs="Symbol"/>
    </w:rPr>
  </w:style>
  <w:style w:type="character" w:styleId="ListLabel173">
    <w:name w:val="ListLabel 173"/>
    <w:qFormat/>
    <w:rPr>
      <w:rFonts w:cs="Courier New"/>
    </w:rPr>
  </w:style>
  <w:style w:type="character" w:styleId="ListLabel174">
    <w:name w:val="ListLabel 174"/>
    <w:qFormat/>
    <w:rPr>
      <w:rFonts w:cs="Wingdings"/>
    </w:rPr>
  </w:style>
  <w:style w:type="character" w:styleId="ListLabel175">
    <w:name w:val="ListLabel 175"/>
    <w:qFormat/>
    <w:rPr>
      <w:rFonts w:cs="Symbol"/>
      <w:color w:val="00000A"/>
      <w:sz w:val="22"/>
    </w:rPr>
  </w:style>
  <w:style w:type="character" w:styleId="ListLabel176">
    <w:name w:val="ListLabel 176"/>
    <w:qFormat/>
    <w:rPr>
      <w:rFonts w:cs="Courier New"/>
      <w:sz w:val="20"/>
    </w:rPr>
  </w:style>
  <w:style w:type="character" w:styleId="ListLabel177">
    <w:name w:val="ListLabel 177"/>
    <w:qFormat/>
    <w:rPr>
      <w:rFonts w:cs="Wingdings"/>
      <w:sz w:val="20"/>
    </w:rPr>
  </w:style>
  <w:style w:type="character" w:styleId="ListLabel178">
    <w:name w:val="ListLabel 178"/>
    <w:qFormat/>
    <w:rPr>
      <w:rFonts w:cs="Wingdings"/>
      <w:sz w:val="20"/>
    </w:rPr>
  </w:style>
  <w:style w:type="character" w:styleId="ListLabel179">
    <w:name w:val="ListLabel 179"/>
    <w:qFormat/>
    <w:rPr>
      <w:rFonts w:cs="Wingdings"/>
      <w:sz w:val="20"/>
    </w:rPr>
  </w:style>
  <w:style w:type="character" w:styleId="ListLabel180">
    <w:name w:val="ListLabel 180"/>
    <w:qFormat/>
    <w:rPr>
      <w:rFonts w:cs="Wingdings"/>
      <w:sz w:val="20"/>
    </w:rPr>
  </w:style>
  <w:style w:type="character" w:styleId="ListLabel181">
    <w:name w:val="ListLabel 181"/>
    <w:qFormat/>
    <w:rPr>
      <w:rFonts w:cs="Wingdings"/>
      <w:sz w:val="20"/>
    </w:rPr>
  </w:style>
  <w:style w:type="character" w:styleId="ListLabel182">
    <w:name w:val="ListLabel 182"/>
    <w:qFormat/>
    <w:rPr>
      <w:rFonts w:cs="Wingdings"/>
      <w:sz w:val="20"/>
    </w:rPr>
  </w:style>
  <w:style w:type="character" w:styleId="ListLabel183">
    <w:name w:val="ListLabel 183"/>
    <w:qFormat/>
    <w:rPr>
      <w:rFonts w:cs="Wingdings"/>
      <w:sz w:val="20"/>
    </w:rPr>
  </w:style>
  <w:style w:type="character" w:styleId="ListLabel184">
    <w:name w:val="ListLabel 184"/>
    <w:qFormat/>
    <w:rPr>
      <w:rFonts w:cs="Symbol"/>
      <w:sz w:val="20"/>
    </w:rPr>
  </w:style>
  <w:style w:type="character" w:styleId="ListLabel185">
    <w:name w:val="ListLabel 185"/>
    <w:qFormat/>
    <w:rPr>
      <w:rFonts w:cs="Courier New"/>
      <w:sz w:val="20"/>
    </w:rPr>
  </w:style>
  <w:style w:type="character" w:styleId="ListLabel186">
    <w:name w:val="ListLabel 186"/>
    <w:qFormat/>
    <w:rPr>
      <w:rFonts w:cs="Wingdings"/>
      <w:sz w:val="20"/>
    </w:rPr>
  </w:style>
  <w:style w:type="character" w:styleId="ListLabel187">
    <w:name w:val="ListLabel 187"/>
    <w:qFormat/>
    <w:rPr>
      <w:rFonts w:cs="Wingdings"/>
      <w:sz w:val="20"/>
    </w:rPr>
  </w:style>
  <w:style w:type="character" w:styleId="ListLabel188">
    <w:name w:val="ListLabel 188"/>
    <w:qFormat/>
    <w:rPr>
      <w:rFonts w:cs="Wingdings"/>
      <w:sz w:val="20"/>
    </w:rPr>
  </w:style>
  <w:style w:type="character" w:styleId="ListLabel189">
    <w:name w:val="ListLabel 189"/>
    <w:qFormat/>
    <w:rPr>
      <w:rFonts w:cs="Wingdings"/>
      <w:sz w:val="20"/>
    </w:rPr>
  </w:style>
  <w:style w:type="character" w:styleId="ListLabel190">
    <w:name w:val="ListLabel 190"/>
    <w:qFormat/>
    <w:rPr>
      <w:rFonts w:cs="Wingdings"/>
      <w:sz w:val="20"/>
    </w:rPr>
  </w:style>
  <w:style w:type="character" w:styleId="ListLabel191">
    <w:name w:val="ListLabel 191"/>
    <w:qFormat/>
    <w:rPr>
      <w:rFonts w:cs="Wingdings"/>
      <w:sz w:val="20"/>
    </w:rPr>
  </w:style>
  <w:style w:type="character" w:styleId="ListLabel192">
    <w:name w:val="ListLabel 192"/>
    <w:qFormat/>
    <w:rPr>
      <w:rFonts w:cs="Wingdings"/>
      <w:sz w:val="20"/>
    </w:rPr>
  </w:style>
  <w:style w:type="character" w:styleId="ListLabel193">
    <w:name w:val="ListLabel 193"/>
    <w:qFormat/>
    <w:rPr>
      <w:rFonts w:cs="Symbol"/>
      <w:sz w:val="20"/>
    </w:rPr>
  </w:style>
  <w:style w:type="character" w:styleId="ListLabel194">
    <w:name w:val="ListLabel 194"/>
    <w:qFormat/>
    <w:rPr>
      <w:rFonts w:cs="Courier New"/>
      <w:sz w:val="20"/>
    </w:rPr>
  </w:style>
  <w:style w:type="character" w:styleId="ListLabel195">
    <w:name w:val="ListLabel 195"/>
    <w:qFormat/>
    <w:rPr>
      <w:rFonts w:cs="Wingdings"/>
      <w:sz w:val="20"/>
    </w:rPr>
  </w:style>
  <w:style w:type="character" w:styleId="ListLabel196">
    <w:name w:val="ListLabel 196"/>
    <w:qFormat/>
    <w:rPr>
      <w:rFonts w:cs="Wingdings"/>
      <w:sz w:val="20"/>
    </w:rPr>
  </w:style>
  <w:style w:type="character" w:styleId="ListLabel197">
    <w:name w:val="ListLabel 197"/>
    <w:qFormat/>
    <w:rPr>
      <w:rFonts w:cs="Wingdings"/>
      <w:sz w:val="20"/>
    </w:rPr>
  </w:style>
  <w:style w:type="character" w:styleId="ListLabel198">
    <w:name w:val="ListLabel 198"/>
    <w:qFormat/>
    <w:rPr>
      <w:rFonts w:cs="Wingdings"/>
      <w:sz w:val="20"/>
    </w:rPr>
  </w:style>
  <w:style w:type="character" w:styleId="ListLabel199">
    <w:name w:val="ListLabel 199"/>
    <w:qFormat/>
    <w:rPr>
      <w:rFonts w:cs="Wingdings"/>
      <w:sz w:val="20"/>
    </w:rPr>
  </w:style>
  <w:style w:type="character" w:styleId="ListLabel200">
    <w:name w:val="ListLabel 200"/>
    <w:qFormat/>
    <w:rPr>
      <w:rFonts w:cs="Wingdings"/>
      <w:sz w:val="20"/>
    </w:rPr>
  </w:style>
  <w:style w:type="character" w:styleId="ListLabel201">
    <w:name w:val="ListLabel 201"/>
    <w:qFormat/>
    <w:rPr>
      <w:rFonts w:cs="Wingdings"/>
      <w:sz w:val="20"/>
    </w:rPr>
  </w:style>
  <w:style w:type="character" w:styleId="ListLabel202">
    <w:name w:val="ListLabel 202"/>
    <w:qFormat/>
    <w:rPr>
      <w:rFonts w:cs="Symbol"/>
      <w:sz w:val="20"/>
    </w:rPr>
  </w:style>
  <w:style w:type="character" w:styleId="ListLabel203">
    <w:name w:val="ListLabel 203"/>
    <w:qFormat/>
    <w:rPr>
      <w:rFonts w:cs="Courier New"/>
      <w:sz w:val="20"/>
    </w:rPr>
  </w:style>
  <w:style w:type="character" w:styleId="ListLabel204">
    <w:name w:val="ListLabel 204"/>
    <w:qFormat/>
    <w:rPr>
      <w:rFonts w:cs="Wingdings"/>
      <w:sz w:val="20"/>
    </w:rPr>
  </w:style>
  <w:style w:type="character" w:styleId="ListLabel205">
    <w:name w:val="ListLabel 205"/>
    <w:qFormat/>
    <w:rPr>
      <w:rFonts w:cs="Wingdings"/>
      <w:sz w:val="20"/>
    </w:rPr>
  </w:style>
  <w:style w:type="character" w:styleId="ListLabel206">
    <w:name w:val="ListLabel 206"/>
    <w:qFormat/>
    <w:rPr>
      <w:rFonts w:cs="Wingdings"/>
      <w:sz w:val="20"/>
    </w:rPr>
  </w:style>
  <w:style w:type="character" w:styleId="ListLabel207">
    <w:name w:val="ListLabel 207"/>
    <w:qFormat/>
    <w:rPr>
      <w:rFonts w:cs="Wingdings"/>
      <w:sz w:val="20"/>
    </w:rPr>
  </w:style>
  <w:style w:type="character" w:styleId="ListLabel208">
    <w:name w:val="ListLabel 208"/>
    <w:qFormat/>
    <w:rPr>
      <w:rFonts w:cs="Wingdings"/>
      <w:sz w:val="20"/>
    </w:rPr>
  </w:style>
  <w:style w:type="character" w:styleId="ListLabel209">
    <w:name w:val="ListLabel 209"/>
    <w:qFormat/>
    <w:rPr>
      <w:rFonts w:cs="Wingdings"/>
      <w:sz w:val="20"/>
    </w:rPr>
  </w:style>
  <w:style w:type="character" w:styleId="ListLabel210">
    <w:name w:val="ListLabel 210"/>
    <w:qFormat/>
    <w:rPr>
      <w:rFonts w:cs="Wingdings"/>
      <w:sz w:val="20"/>
    </w:rPr>
  </w:style>
  <w:style w:type="character" w:styleId="ListLabel211">
    <w:name w:val="ListLabel 211"/>
    <w:qFormat/>
    <w:rPr>
      <w:rFonts w:cs="Symbol"/>
    </w:rPr>
  </w:style>
  <w:style w:type="character" w:styleId="ListLabel212">
    <w:name w:val="ListLabel 212"/>
    <w:qFormat/>
    <w:rPr>
      <w:rFonts w:cs="Courier New"/>
    </w:rPr>
  </w:style>
  <w:style w:type="character" w:styleId="ListLabel213">
    <w:name w:val="ListLabel 213"/>
    <w:qFormat/>
    <w:rPr>
      <w:rFonts w:cs="Wingdings"/>
    </w:rPr>
  </w:style>
  <w:style w:type="character" w:styleId="ListLabel214">
    <w:name w:val="ListLabel 214"/>
    <w:qFormat/>
    <w:rPr>
      <w:rFonts w:cs="Symbol"/>
    </w:rPr>
  </w:style>
  <w:style w:type="character" w:styleId="ListLabel215">
    <w:name w:val="ListLabel 215"/>
    <w:qFormat/>
    <w:rPr>
      <w:rFonts w:cs="Courier New"/>
    </w:rPr>
  </w:style>
  <w:style w:type="character" w:styleId="ListLabel216">
    <w:name w:val="ListLabel 216"/>
    <w:qFormat/>
    <w:rPr>
      <w:rFonts w:cs="Wingdings"/>
    </w:rPr>
  </w:style>
  <w:style w:type="character" w:styleId="ListLabel217">
    <w:name w:val="ListLabel 217"/>
    <w:qFormat/>
    <w:rPr>
      <w:rFonts w:cs="Symbol"/>
    </w:rPr>
  </w:style>
  <w:style w:type="character" w:styleId="ListLabel218">
    <w:name w:val="ListLabel 218"/>
    <w:qFormat/>
    <w:rPr>
      <w:rFonts w:cs="Courier New"/>
    </w:rPr>
  </w:style>
  <w:style w:type="character" w:styleId="ListLabel219">
    <w:name w:val="ListLabel 219"/>
    <w:qFormat/>
    <w:rPr>
      <w:rFonts w:cs="Wingdings"/>
    </w:rPr>
  </w:style>
  <w:style w:type="character" w:styleId="ListLabel220">
    <w:name w:val="ListLabel 220"/>
    <w:qFormat/>
    <w:rPr>
      <w:rFonts w:cs="Arial"/>
      <w:sz w:val="22"/>
    </w:rPr>
  </w:style>
  <w:style w:type="character" w:styleId="ListLabel221">
    <w:name w:val="ListLabel 221"/>
    <w:qFormat/>
    <w:rPr>
      <w:rFonts w:cs="Courier New"/>
    </w:rPr>
  </w:style>
  <w:style w:type="character" w:styleId="ListLabel222">
    <w:name w:val="ListLabel 222"/>
    <w:qFormat/>
    <w:rPr>
      <w:rFonts w:cs="Wingdings"/>
    </w:rPr>
  </w:style>
  <w:style w:type="character" w:styleId="ListLabel223">
    <w:name w:val="ListLabel 223"/>
    <w:qFormat/>
    <w:rPr>
      <w:rFonts w:cs="Symbol"/>
    </w:rPr>
  </w:style>
  <w:style w:type="character" w:styleId="ListLabel224">
    <w:name w:val="ListLabel 224"/>
    <w:qFormat/>
    <w:rPr>
      <w:rFonts w:cs="Courier New"/>
    </w:rPr>
  </w:style>
  <w:style w:type="character" w:styleId="ListLabel225">
    <w:name w:val="ListLabel 225"/>
    <w:qFormat/>
    <w:rPr>
      <w:rFonts w:cs="Wingdings"/>
    </w:rPr>
  </w:style>
  <w:style w:type="character" w:styleId="ListLabel226">
    <w:name w:val="ListLabel 226"/>
    <w:qFormat/>
    <w:rPr>
      <w:rFonts w:cs="Symbol"/>
    </w:rPr>
  </w:style>
  <w:style w:type="character" w:styleId="ListLabel227">
    <w:name w:val="ListLabel 227"/>
    <w:qFormat/>
    <w:rPr>
      <w:rFonts w:cs="Courier New"/>
    </w:rPr>
  </w:style>
  <w:style w:type="character" w:styleId="ListLabel228">
    <w:name w:val="ListLabel 228"/>
    <w:qFormat/>
    <w:rPr>
      <w:rFonts w:cs="Wingdings"/>
    </w:rPr>
  </w:style>
  <w:style w:type="character" w:styleId="ListLabel229">
    <w:name w:val="ListLabel 229"/>
    <w:qFormat/>
    <w:rPr>
      <w:rFonts w:cs="Symbol"/>
      <w:color w:val="00000A"/>
      <w:sz w:val="22"/>
    </w:rPr>
  </w:style>
  <w:style w:type="character" w:styleId="ListLabel230">
    <w:name w:val="ListLabel 230"/>
    <w:qFormat/>
    <w:rPr>
      <w:rFonts w:cs="Courier New"/>
      <w:sz w:val="20"/>
    </w:rPr>
  </w:style>
  <w:style w:type="character" w:styleId="ListLabel231">
    <w:name w:val="ListLabel 231"/>
    <w:qFormat/>
    <w:rPr>
      <w:rFonts w:cs="Wingdings"/>
      <w:sz w:val="20"/>
    </w:rPr>
  </w:style>
  <w:style w:type="character" w:styleId="ListLabel232">
    <w:name w:val="ListLabel 232"/>
    <w:qFormat/>
    <w:rPr>
      <w:rFonts w:cs="Wingdings"/>
      <w:sz w:val="20"/>
    </w:rPr>
  </w:style>
  <w:style w:type="character" w:styleId="ListLabel233">
    <w:name w:val="ListLabel 233"/>
    <w:qFormat/>
    <w:rPr>
      <w:rFonts w:cs="Wingdings"/>
      <w:sz w:val="20"/>
    </w:rPr>
  </w:style>
  <w:style w:type="character" w:styleId="ListLabel234">
    <w:name w:val="ListLabel 234"/>
    <w:qFormat/>
    <w:rPr>
      <w:rFonts w:cs="Wingdings"/>
      <w:sz w:val="20"/>
    </w:rPr>
  </w:style>
  <w:style w:type="character" w:styleId="ListLabel235">
    <w:name w:val="ListLabel 235"/>
    <w:qFormat/>
    <w:rPr>
      <w:rFonts w:cs="Wingdings"/>
      <w:sz w:val="20"/>
    </w:rPr>
  </w:style>
  <w:style w:type="character" w:styleId="ListLabel236">
    <w:name w:val="ListLabel 236"/>
    <w:qFormat/>
    <w:rPr>
      <w:rFonts w:cs="Wingdings"/>
      <w:sz w:val="20"/>
    </w:rPr>
  </w:style>
  <w:style w:type="character" w:styleId="ListLabel237">
    <w:name w:val="ListLabel 237"/>
    <w:qFormat/>
    <w:rPr>
      <w:rFonts w:cs="Wingdings"/>
      <w:sz w:val="20"/>
    </w:rPr>
  </w:style>
  <w:style w:type="character" w:styleId="ListLabel238">
    <w:name w:val="ListLabel 238"/>
    <w:qFormat/>
    <w:rPr>
      <w:rFonts w:cs="Symbol"/>
      <w:sz w:val="20"/>
    </w:rPr>
  </w:style>
  <w:style w:type="character" w:styleId="ListLabel239">
    <w:name w:val="ListLabel 239"/>
    <w:qFormat/>
    <w:rPr>
      <w:rFonts w:cs="Courier New"/>
      <w:sz w:val="20"/>
    </w:rPr>
  </w:style>
  <w:style w:type="character" w:styleId="ListLabel240">
    <w:name w:val="ListLabel 240"/>
    <w:qFormat/>
    <w:rPr>
      <w:rFonts w:cs="Wingdings"/>
      <w:sz w:val="20"/>
    </w:rPr>
  </w:style>
  <w:style w:type="character" w:styleId="ListLabel241">
    <w:name w:val="ListLabel 241"/>
    <w:qFormat/>
    <w:rPr>
      <w:rFonts w:cs="Wingdings"/>
      <w:sz w:val="20"/>
    </w:rPr>
  </w:style>
  <w:style w:type="character" w:styleId="ListLabel242">
    <w:name w:val="ListLabel 242"/>
    <w:qFormat/>
    <w:rPr>
      <w:rFonts w:cs="Wingdings"/>
      <w:sz w:val="20"/>
    </w:rPr>
  </w:style>
  <w:style w:type="character" w:styleId="ListLabel243">
    <w:name w:val="ListLabel 243"/>
    <w:qFormat/>
    <w:rPr>
      <w:rFonts w:cs="Wingdings"/>
      <w:sz w:val="20"/>
    </w:rPr>
  </w:style>
  <w:style w:type="character" w:styleId="ListLabel244">
    <w:name w:val="ListLabel 244"/>
    <w:qFormat/>
    <w:rPr>
      <w:rFonts w:cs="Wingdings"/>
      <w:sz w:val="20"/>
    </w:rPr>
  </w:style>
  <w:style w:type="character" w:styleId="ListLabel245">
    <w:name w:val="ListLabel 245"/>
    <w:qFormat/>
    <w:rPr>
      <w:rFonts w:cs="Wingdings"/>
      <w:sz w:val="20"/>
    </w:rPr>
  </w:style>
  <w:style w:type="character" w:styleId="ListLabel246">
    <w:name w:val="ListLabel 246"/>
    <w:qFormat/>
    <w:rPr>
      <w:rFonts w:cs="Wingdings"/>
      <w:sz w:val="20"/>
    </w:rPr>
  </w:style>
  <w:style w:type="character" w:styleId="ListLabel247">
    <w:name w:val="ListLabel 247"/>
    <w:qFormat/>
    <w:rPr>
      <w:rFonts w:cs="Symbol"/>
      <w:sz w:val="20"/>
    </w:rPr>
  </w:style>
  <w:style w:type="character" w:styleId="ListLabel248">
    <w:name w:val="ListLabel 248"/>
    <w:qFormat/>
    <w:rPr>
      <w:rFonts w:cs="Courier New"/>
      <w:sz w:val="20"/>
    </w:rPr>
  </w:style>
  <w:style w:type="character" w:styleId="ListLabel249">
    <w:name w:val="ListLabel 249"/>
    <w:qFormat/>
    <w:rPr>
      <w:rFonts w:cs="Wingdings"/>
      <w:sz w:val="20"/>
    </w:rPr>
  </w:style>
  <w:style w:type="character" w:styleId="ListLabel250">
    <w:name w:val="ListLabel 250"/>
    <w:qFormat/>
    <w:rPr>
      <w:rFonts w:cs="Wingdings"/>
      <w:sz w:val="20"/>
    </w:rPr>
  </w:style>
  <w:style w:type="character" w:styleId="ListLabel251">
    <w:name w:val="ListLabel 251"/>
    <w:qFormat/>
    <w:rPr>
      <w:rFonts w:cs="Wingdings"/>
      <w:sz w:val="20"/>
    </w:rPr>
  </w:style>
  <w:style w:type="character" w:styleId="ListLabel252">
    <w:name w:val="ListLabel 252"/>
    <w:qFormat/>
    <w:rPr>
      <w:rFonts w:cs="Wingdings"/>
      <w:sz w:val="20"/>
    </w:rPr>
  </w:style>
  <w:style w:type="character" w:styleId="ListLabel253">
    <w:name w:val="ListLabel 253"/>
    <w:qFormat/>
    <w:rPr>
      <w:rFonts w:cs="Wingdings"/>
      <w:sz w:val="20"/>
    </w:rPr>
  </w:style>
  <w:style w:type="character" w:styleId="ListLabel254">
    <w:name w:val="ListLabel 254"/>
    <w:qFormat/>
    <w:rPr>
      <w:rFonts w:cs="Wingdings"/>
      <w:sz w:val="20"/>
    </w:rPr>
  </w:style>
  <w:style w:type="character" w:styleId="ListLabel255">
    <w:name w:val="ListLabel 255"/>
    <w:qFormat/>
    <w:rPr>
      <w:rFonts w:cs="Wingdings"/>
      <w:sz w:val="20"/>
    </w:rPr>
  </w:style>
  <w:style w:type="character" w:styleId="ListLabel256">
    <w:name w:val="ListLabel 256"/>
    <w:qFormat/>
    <w:rPr>
      <w:rFonts w:cs="Symbol"/>
      <w:sz w:val="20"/>
    </w:rPr>
  </w:style>
  <w:style w:type="character" w:styleId="ListLabel257">
    <w:name w:val="ListLabel 257"/>
    <w:qFormat/>
    <w:rPr>
      <w:rFonts w:cs="Courier New"/>
      <w:sz w:val="20"/>
    </w:rPr>
  </w:style>
  <w:style w:type="character" w:styleId="ListLabel258">
    <w:name w:val="ListLabel 258"/>
    <w:qFormat/>
    <w:rPr>
      <w:rFonts w:cs="Wingdings"/>
      <w:sz w:val="20"/>
    </w:rPr>
  </w:style>
  <w:style w:type="character" w:styleId="ListLabel259">
    <w:name w:val="ListLabel 259"/>
    <w:qFormat/>
    <w:rPr>
      <w:rFonts w:cs="Wingdings"/>
      <w:sz w:val="20"/>
    </w:rPr>
  </w:style>
  <w:style w:type="character" w:styleId="ListLabel260">
    <w:name w:val="ListLabel 260"/>
    <w:qFormat/>
    <w:rPr>
      <w:rFonts w:cs="Wingdings"/>
      <w:sz w:val="20"/>
    </w:rPr>
  </w:style>
  <w:style w:type="character" w:styleId="ListLabel261">
    <w:name w:val="ListLabel 261"/>
    <w:qFormat/>
    <w:rPr>
      <w:rFonts w:cs="Wingdings"/>
      <w:sz w:val="20"/>
    </w:rPr>
  </w:style>
  <w:style w:type="character" w:styleId="ListLabel262">
    <w:name w:val="ListLabel 262"/>
    <w:qFormat/>
    <w:rPr>
      <w:rFonts w:cs="Wingdings"/>
      <w:sz w:val="20"/>
    </w:rPr>
  </w:style>
  <w:style w:type="character" w:styleId="ListLabel263">
    <w:name w:val="ListLabel 263"/>
    <w:qFormat/>
    <w:rPr>
      <w:rFonts w:cs="Wingdings"/>
      <w:sz w:val="20"/>
    </w:rPr>
  </w:style>
  <w:style w:type="character" w:styleId="ListLabel264">
    <w:name w:val="ListLabel 264"/>
    <w:qFormat/>
    <w:rPr>
      <w:rFonts w:cs="Wingdings"/>
      <w:sz w:val="20"/>
    </w:rPr>
  </w:style>
  <w:style w:type="paragraph" w:styleId="Heading">
    <w:name w:val="Heading"/>
    <w:basedOn w:val="Normal"/>
    <w:next w:val="TextBody"/>
    <w:qFormat/>
    <w:pPr>
      <w:keepNext/>
      <w:spacing w:before="240" w:after="120"/>
    </w:pPr>
    <w:rPr>
      <w:rFonts w:ascii="Liberation Sans" w:hAnsi="Liberation Sans" w:eastAsia="Microsoft YaHei" w:cs="Mang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BalloonText">
    <w:name w:val="Balloon Text"/>
    <w:basedOn w:val="Normal"/>
    <w:link w:val="BalloonTextChar"/>
    <w:uiPriority w:val="99"/>
    <w:semiHidden/>
    <w:unhideWhenUsed/>
    <w:qFormat/>
    <w:rsid w:val="00db27f0"/>
    <w:pPr>
      <w:spacing w:before="0" w:after="0"/>
    </w:pPr>
    <w:rPr>
      <w:rFonts w:ascii="Tahoma" w:hAnsi="Tahoma" w:cs="Tahoma"/>
      <w:sz w:val="16"/>
      <w:szCs w:val="16"/>
    </w:rPr>
  </w:style>
  <w:style w:type="paragraph" w:styleId="Header">
    <w:name w:val="Header"/>
    <w:basedOn w:val="Normal"/>
    <w:link w:val="HeaderChar"/>
    <w:uiPriority w:val="99"/>
    <w:unhideWhenUsed/>
    <w:rsid w:val="001705dc"/>
    <w:pPr>
      <w:tabs>
        <w:tab w:val="center" w:pos="4536" w:leader="none"/>
        <w:tab w:val="right" w:pos="9072" w:leader="none"/>
      </w:tabs>
      <w:spacing w:before="0" w:after="0"/>
    </w:pPr>
    <w:rPr/>
  </w:style>
  <w:style w:type="paragraph" w:styleId="Footer">
    <w:name w:val="Footer"/>
    <w:basedOn w:val="Normal"/>
    <w:link w:val="FooterChar"/>
    <w:uiPriority w:val="99"/>
    <w:unhideWhenUsed/>
    <w:rsid w:val="001705dc"/>
    <w:pPr>
      <w:tabs>
        <w:tab w:val="center" w:pos="4536" w:leader="none"/>
        <w:tab w:val="right" w:pos="9072" w:leader="none"/>
      </w:tabs>
      <w:spacing w:before="0" w:after="0"/>
    </w:pPr>
    <w:rPr/>
  </w:style>
  <w:style w:type="paragraph" w:styleId="NormalWeb">
    <w:name w:val="Normal (Web)"/>
    <w:basedOn w:val="Normal"/>
    <w:uiPriority w:val="99"/>
    <w:unhideWhenUsed/>
    <w:qFormat/>
    <w:rsid w:val="00705c9b"/>
    <w:pPr>
      <w:spacing w:beforeAutospacing="1" w:afterAutospacing="1"/>
      <w:jc w:val="left"/>
    </w:pPr>
    <w:rPr>
      <w:rFonts w:ascii="Times New Roman" w:hAnsi="Times New Roman" w:eastAsia="Times New Roman" w:cs="Times New Roman"/>
      <w:color w:val="00000A"/>
      <w:sz w:val="24"/>
      <w:szCs w:val="24"/>
      <w:lang w:eastAsia="hr-HR"/>
    </w:rPr>
  </w:style>
  <w:style w:type="paragraph" w:styleId="Tijeloteksta1" w:customStyle="1">
    <w:name w:val="Tijelo teksta1"/>
    <w:basedOn w:val="Normal"/>
    <w:qFormat/>
    <w:rsid w:val="00a233bb"/>
    <w:pPr>
      <w:widowControl w:val="false"/>
      <w:suppressAutoHyphens w:val="true"/>
      <w:spacing w:lineRule="auto" w:line="288" w:before="0" w:after="120"/>
      <w:jc w:val="left"/>
    </w:pPr>
    <w:rPr>
      <w:rFonts w:ascii="Times New Roman" w:hAnsi="Times New Roman" w:eastAsia="Lucida Sans Unicode" w:cs="Mangal"/>
      <w:color w:val="00000A"/>
      <w:sz w:val="24"/>
      <w:szCs w:val="24"/>
      <w:lang w:eastAsia="zh-CN" w:bidi="hi-IN"/>
    </w:rPr>
  </w:style>
  <w:style w:type="paragraph" w:styleId="Default" w:customStyle="1">
    <w:name w:val="Default"/>
    <w:link w:val="DefaultChar"/>
    <w:qFormat/>
    <w:rsid w:val="009a3995"/>
    <w:pPr>
      <w:widowControl/>
      <w:bidi w:val="0"/>
      <w:spacing w:lineRule="auto" w:line="240" w:before="0" w:after="0"/>
      <w:jc w:val="left"/>
    </w:pPr>
    <w:rPr>
      <w:rFonts w:ascii="Calibri" w:hAnsi="Calibri" w:eastAsia="Calibri" w:cs="Calibri"/>
      <w:color w:val="000000"/>
      <w:sz w:val="24"/>
      <w:szCs w:val="24"/>
      <w:lang w:val="hr-HR" w:eastAsia="en-US" w:bidi="ar-SA"/>
    </w:rPr>
  </w:style>
  <w:style w:type="paragraph" w:styleId="NoSpacing">
    <w:name w:val="No Spacing"/>
    <w:uiPriority w:val="1"/>
    <w:qFormat/>
    <w:rsid w:val="00e50e61"/>
    <w:pPr>
      <w:widowControl/>
      <w:bidi w:val="0"/>
      <w:spacing w:lineRule="auto" w:line="240" w:before="0" w:after="0"/>
      <w:jc w:val="left"/>
    </w:pPr>
    <w:rPr>
      <w:rFonts w:ascii="Calibri" w:hAnsi="Calibri" w:eastAsia="" w:cs="" w:eastAsiaTheme="minorEastAsia"/>
      <w:color w:val="00000A"/>
      <w:sz w:val="21"/>
      <w:szCs w:val="21"/>
      <w:lang w:val="hr-HR" w:eastAsia="en-US" w:bidi="ar-SA"/>
    </w:rPr>
  </w:style>
  <w:style w:type="paragraph" w:styleId="ListParagraph">
    <w:name w:val="List Paragraph"/>
    <w:basedOn w:val="Normal"/>
    <w:uiPriority w:val="34"/>
    <w:qFormat/>
    <w:rsid w:val="006a527a"/>
    <w:pPr>
      <w:spacing w:before="0" w:after="200"/>
      <w:ind w:left="720" w:hanging="0"/>
      <w:contextualSpacing/>
    </w:pPr>
    <w:rPr/>
  </w:style>
  <w:style w:type="paragraph" w:styleId="TOCHeading">
    <w:name w:val="TOC Heading"/>
    <w:basedOn w:val="Heading1"/>
    <w:next w:val="Normal"/>
    <w:uiPriority w:val="39"/>
    <w:semiHidden/>
    <w:unhideWhenUsed/>
    <w:qFormat/>
    <w:rsid w:val="00e82992"/>
    <w:pPr>
      <w:jc w:val="left"/>
    </w:pPr>
    <w:rPr>
      <w:rFonts w:ascii="Cambria" w:hAnsi="Cambria" w:asciiTheme="majorHAnsi" w:hAnsiTheme="majorHAnsi"/>
      <w:color w:val="365F91" w:themeColor="accent1" w:themeShade="bf"/>
      <w:sz w:val="28"/>
      <w:lang w:val="en-US" w:eastAsia="ja-JP"/>
    </w:rPr>
  </w:style>
  <w:style w:type="paragraph" w:styleId="Contents1">
    <w:name w:val="TOC 1"/>
    <w:basedOn w:val="Normal"/>
    <w:next w:val="Normal"/>
    <w:autoRedefine/>
    <w:uiPriority w:val="39"/>
    <w:unhideWhenUsed/>
    <w:rsid w:val="00e82992"/>
    <w:pPr>
      <w:spacing w:before="0" w:after="100"/>
    </w:pPr>
    <w:rPr/>
  </w:style>
  <w:style w:type="paragraph" w:styleId="Contents2">
    <w:name w:val="TOC 2"/>
    <w:basedOn w:val="Normal"/>
    <w:next w:val="Normal"/>
    <w:autoRedefine/>
    <w:uiPriority w:val="39"/>
    <w:unhideWhenUsed/>
    <w:rsid w:val="00e82992"/>
    <w:pPr>
      <w:spacing w:before="0" w:after="100"/>
      <w:ind w:left="220" w:hanging="0"/>
    </w:pPr>
    <w:rPr/>
  </w:style>
  <w:style w:type="paragraph" w:styleId="TableContents" w:customStyle="1">
    <w:name w:val="Table Contents"/>
    <w:basedOn w:val="Normal"/>
    <w:qFormat/>
    <w:rsid w:val="00180d73"/>
    <w:pPr>
      <w:spacing w:lineRule="auto" w:line="300" w:before="0" w:after="160"/>
      <w:jc w:val="left"/>
    </w:pPr>
    <w:rPr>
      <w:rFonts w:ascii="Calibri" w:hAnsi="Calibri" w:eastAsia="" w:asciiTheme="minorHAnsi" w:eastAsiaTheme="minorEastAsia" w:hAnsiTheme="minorHAnsi"/>
      <w:color w:val="00000A"/>
      <w:sz w:val="21"/>
      <w:szCs w:val="21"/>
    </w:rPr>
  </w:style>
  <w:style w:type="paragraph" w:styleId="Contents3">
    <w:name w:val="TOC 3"/>
    <w:basedOn w:val="Normal"/>
    <w:next w:val="Normal"/>
    <w:autoRedefine/>
    <w:uiPriority w:val="39"/>
    <w:unhideWhenUsed/>
    <w:rsid w:val="00f44d58"/>
    <w:pPr>
      <w:spacing w:before="0" w:after="100"/>
      <w:ind w:left="440" w:hanging="0"/>
    </w:pPr>
    <w:rPr/>
  </w:style>
  <w:style w:type="paragraph" w:styleId="TableHeading">
    <w:name w:val="Table Heading"/>
    <w:basedOn w:val="TableContents"/>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59"/>
    <w:rsid w:val="00ac27d1"/>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opcina-nova-kapela@sb.t-com.hr"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2.png"/><Relationship Id="rId7" Type="http://schemas.openxmlformats.org/officeDocument/2006/relationships/image" Target="media/image3.wmf"/><Relationship Id="rId8" Type="http://schemas.openxmlformats.org/officeDocument/2006/relationships/image" Target="media/image4.wmf"/><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hyperlink" Target="http://narodne-novine.nn.hr/clanci/sluzbeni/299087.html" TargetMode="External"/><Relationship Id="rId14" Type="http://schemas.openxmlformats.org/officeDocument/2006/relationships/hyperlink" Target="http://narodne-novine.nn.hr/clanci/sluzbeni/2013_07_94_2123.html" TargetMode="External"/><Relationship Id="rId15" Type="http://schemas.openxmlformats.org/officeDocument/2006/relationships/hyperlink" Target="http://narodne-novine.nn.hr/clanci/sluzbeni/2005_11_130_2398.html" TargetMode="External"/><Relationship Id="rId16" Type="http://schemas.openxmlformats.org/officeDocument/2006/relationships/hyperlink" Target="http://narodne-novine.nn.hr/clanci/sluzbeni/2006_04_40_980.html" TargetMode="External"/><Relationship Id="rId17" Type="http://schemas.openxmlformats.org/officeDocument/2006/relationships/hyperlink" Target="http://narodne-novine.nn.hr/clanci/sluzbeni/2009_03_31_684.html" TargetMode="External"/><Relationship Id="rId18" Type="http://schemas.openxmlformats.org/officeDocument/2006/relationships/hyperlink" Target="http://narodne-novine.nn.hr/clanci/sluzbeni/2009_12_156_3895.html" TargetMode="External"/><Relationship Id="rId19" Type="http://schemas.openxmlformats.org/officeDocument/2006/relationships/hyperlink" Target="http://narodne-novine.nn.hr/clanci/sluzbeni/2011_09_111_2174.html" TargetMode="External"/><Relationship Id="rId20" Type="http://schemas.openxmlformats.org/officeDocument/2006/relationships/hyperlink" Target="http://narodne-novine.nn.hr/clanci/sluzbeni/2013_07_86_1934.html" TargetMode="External"/><Relationship Id="rId21" Type="http://schemas.openxmlformats.org/officeDocument/2006/relationships/hyperlink" Target="http://narodne-novine.nn.hr/clanci/sluzbeni/2015_04_40_829.html" TargetMode="External"/><Relationship Id="rId22" Type="http://schemas.openxmlformats.org/officeDocument/2006/relationships/hyperlink" Target="http://narodne-novine.nn.hr/clanci/sluzbeni/2006_05_59_1433.html" TargetMode="External"/><Relationship Id="rId23" Type="http://schemas.openxmlformats.org/officeDocument/2006/relationships/hyperlink" Target="http://narodne-novine.nn.hr/clanci/sluzbeni/2012_10_109_2374.html" TargetMode="External"/><Relationship Id="rId24" Type="http://schemas.openxmlformats.org/officeDocument/2006/relationships/hyperlink" Target="http://narodne-novine.nn.hr/clanci/sluzbeni/2006_11_124_2762.html" TargetMode="External"/><Relationship Id="rId25" Type="http://schemas.openxmlformats.org/officeDocument/2006/relationships/hyperlink" Target="http://narodne-novine.nn.hr/clanci/sluzbeni/2008_10_121_3482.html" TargetMode="External"/><Relationship Id="rId26" Type="http://schemas.openxmlformats.org/officeDocument/2006/relationships/hyperlink" Target="http://narodne-novine.nn.hr/clanci/sluzbeni/2009_03_31_682.html" TargetMode="External"/><Relationship Id="rId27" Type="http://schemas.openxmlformats.org/officeDocument/2006/relationships/hyperlink" Target="http://narodne-novine.nn.hr/clanci/sluzbeni/2009_12_156_3896.html" TargetMode="External"/><Relationship Id="rId28" Type="http://schemas.openxmlformats.org/officeDocument/2006/relationships/hyperlink" Target="http://narodne-novine.nn.hr/clanci/sluzbeni/2011_08_91_1946.html" TargetMode="External"/><Relationship Id="rId29" Type="http://schemas.openxmlformats.org/officeDocument/2006/relationships/hyperlink" Target="http://narodne-novine.nn.hr/clanci/sluzbeni/2012_04_45_1127.html" TargetMode="External"/><Relationship Id="rId30" Type="http://schemas.openxmlformats.org/officeDocument/2006/relationships/hyperlink" Target="http://narodne-novine.nn.hr/clanci/sluzbeni/2013_07_86_1933.html" TargetMode="External"/><Relationship Id="rId31" Type="http://schemas.openxmlformats.org/officeDocument/2006/relationships/hyperlink" Target="http://narodne-novine.nn.hr/clanci/sluzbeni/2007_08_85_2652.html" TargetMode="External"/><Relationship Id="rId32" Type="http://schemas.openxmlformats.org/officeDocument/2006/relationships/hyperlink" Target="http://narodne-novine.nn.hr/clanci/sluzbeni/2010_11_126_3261.html" TargetMode="External"/><Relationship Id="rId33" Type="http://schemas.openxmlformats.org/officeDocument/2006/relationships/hyperlink" Target="http://narodne-novine.nn.hr/clanci/sluzbeni/2011_03_31_682.html" TargetMode="External"/><Relationship Id="rId34" Type="http://schemas.openxmlformats.org/officeDocument/2006/relationships/hyperlink" Target="http://narodne-novine.nn.hr/clanci/sluzbeni/2015_04_46_910.html" TargetMode="External"/><Relationship Id="rId35" Type="http://schemas.openxmlformats.org/officeDocument/2006/relationships/hyperlink" Target="http://narodne-novine.nn.hr/clanci/sluzbeni/2008_04_38_1307.html" TargetMode="External"/><Relationship Id="rId36" Type="http://schemas.openxmlformats.org/officeDocument/2006/relationships/hyperlink" Target="http://narodne-novine.nn.hr/clanci/sluzbeni/2008_11_128_3674.html" TargetMode="External"/><Relationship Id="rId37" Type="http://schemas.openxmlformats.org/officeDocument/2006/relationships/hyperlink" Target="http://narodne-novine.nn.hr/clanci/sluzbeni/2014_01_6_94.html" TargetMode="External"/><Relationship Id="rId38" Type="http://schemas.openxmlformats.org/officeDocument/2006/relationships/hyperlink" Target="http://narodne-novine.nn.hr/clanci/sluzbeni/2014_02_23_426.html" TargetMode="External"/><Relationship Id="rId39" Type="http://schemas.openxmlformats.org/officeDocument/2006/relationships/hyperlink" Target="http://narodne-novine.nn.hr/clanci/sluzbeni/2014_04_51_992.html" TargetMode="External"/><Relationship Id="rId40" Type="http://schemas.openxmlformats.org/officeDocument/2006/relationships/hyperlink" Target="http://narodne-novine.nn.hr/clanci/sluzbeni/2015_11_121_2297.html" TargetMode="External"/><Relationship Id="rId41" Type="http://schemas.openxmlformats.org/officeDocument/2006/relationships/hyperlink" Target="http://narodne-novine.nn.hr/clanci/sluzbeni/2015_12_132_2489.html" TargetMode="External"/><Relationship Id="rId42" Type="http://schemas.openxmlformats.org/officeDocument/2006/relationships/hyperlink" Target="http://narodne-novine.nn.hr/clanci/sluzbeni/2007_02_23_877.html" TargetMode="External"/><Relationship Id="rId43" Type="http://schemas.openxmlformats.org/officeDocument/2006/relationships/hyperlink" Target="http://narodne-novine.nn.hr/clanci/sluzbeni/2007_10_111_3248.html" TargetMode="External"/><Relationship Id="rId44" Type="http://schemas.openxmlformats.org/officeDocument/2006/relationships/hyperlink" Target="http://narodne-novine.nn.hr/clanci/sluzbeni/2014_04_51_992.html" TargetMode="External"/><Relationship Id="rId45" Type="http://schemas.openxmlformats.org/officeDocument/2006/relationships/hyperlink" Target="http://narodne-novine.nn.hr/clanci/sluzbeni/2014_04_42_782.html" TargetMode="External"/><Relationship Id="rId46" Type="http://schemas.openxmlformats.org/officeDocument/2006/relationships/hyperlink" Target="http://narodne-novine.nn.hr/clanci/sluzbeni/2014_04_48_941.html" TargetMode="External"/><Relationship Id="rId47" Type="http://schemas.openxmlformats.org/officeDocument/2006/relationships/hyperlink" Target="http://narodne-novine.nn.hr/clanci/sluzbeni/2014_09_107_2078.html" TargetMode="External"/><Relationship Id="rId48" Type="http://schemas.openxmlformats.org/officeDocument/2006/relationships/hyperlink" Target="http://narodne-novine.nn.hr/clanci/sluzbeni/2014_11_139_2625.html" TargetMode="External"/><Relationship Id="rId49" Type="http://schemas.openxmlformats.org/officeDocument/2006/relationships/hyperlink" Target="http://narodne-novine.nn.hr/clanci/sluzbeni/2014_11_139_2625.html" TargetMode="External"/><Relationship Id="rId50" Type="http://schemas.openxmlformats.org/officeDocument/2006/relationships/hyperlink" Target="http://narodne-novine.nn.hr/clanci/sluzbeni/2007_07_74_2327.html" TargetMode="External"/><Relationship Id="rId51" Type="http://schemas.openxmlformats.org/officeDocument/2006/relationships/hyperlink" Target="http://narodne-novine.nn.hr/clanci/sluzbeni/2008_11_133_3777.html" TargetMode="External"/><Relationship Id="rId52" Type="http://schemas.openxmlformats.org/officeDocument/2006/relationships/hyperlink" Target="http://narodne-novine.nn.hr/clanci/sluzbeni/2009_03_31_681.html" TargetMode="External"/><Relationship Id="rId53" Type="http://schemas.openxmlformats.org/officeDocument/2006/relationships/hyperlink" Target="http://narodne-novine.nn.hr/clanci/sluzbeni/2009_12_156_3891.html" TargetMode="External"/><Relationship Id="rId54" Type="http://schemas.openxmlformats.org/officeDocument/2006/relationships/hyperlink" Target="http://narodne-novine.nn.hr/clanci/sluzbeni/2012_12_143_3067.html" TargetMode="External"/><Relationship Id="rId55" Type="http://schemas.openxmlformats.org/officeDocument/2006/relationships/hyperlink" Target="http://narodne-novine.nn.hr/clanci/sluzbeni/2014_04_42_782.html" TargetMode="External"/><Relationship Id="rId56" Type="http://schemas.openxmlformats.org/officeDocument/2006/relationships/hyperlink" Target="http://narodne-novine.nn.hr/clanci/sluzbeni/2014_08_103_2001.html" TargetMode="External"/><Relationship Id="rId57" Type="http://schemas.openxmlformats.org/officeDocument/2006/relationships/hyperlink" Target="http://narodne-novine.nn.hr/clanci/sluzbeni/2014_10_117_2216.html" TargetMode="External"/><Relationship Id="rId58" Type="http://schemas.openxmlformats.org/officeDocument/2006/relationships/hyperlink" Target="http://narodne-novine.nn.hr/clanci/sluzbeni/2014_10_117_2217.html" TargetMode="External"/><Relationship Id="rId59" Type="http://schemas.openxmlformats.org/officeDocument/2006/relationships/hyperlink" Target="http://narodne-novine.nn.hr/clanci/sluzbeni/2015_05_50_989.html" TargetMode="External"/><Relationship Id="rId60" Type="http://schemas.openxmlformats.org/officeDocument/2006/relationships/hyperlink" Target="http://narodne-novine.nn.hr/clanci/sluzbeni/2015_07_79_1534.html" TargetMode="External"/><Relationship Id="rId61" Type="http://schemas.openxmlformats.org/officeDocument/2006/relationships/hyperlink" Target="http://narodne-novine.nn.hr/clanci/sluzbeni/2015_08_88_1735.html" TargetMode="External"/><Relationship Id="rId62" Type="http://schemas.openxmlformats.org/officeDocument/2006/relationships/hyperlink" Target="http://narodne-novine.nn.hr/clanci/sluzbeni/2016_08_78_1795.html" TargetMode="External"/><Relationship Id="rId63" Type="http://schemas.openxmlformats.org/officeDocument/2006/relationships/hyperlink" Target="http://narodne-novine.nn.hr/clanci/sluzbeni/289416.html" TargetMode="External"/><Relationship Id="rId64" Type="http://schemas.openxmlformats.org/officeDocument/2006/relationships/hyperlink" Target="http://narodne-novine.nn.hr/clanci/sluzbeni/289618.html" TargetMode="External"/><Relationship Id="rId65" Type="http://schemas.openxmlformats.org/officeDocument/2006/relationships/hyperlink" Target="http://narodne-novine.nn.hr/clanci/sluzbeni/340251.html" TargetMode="External"/><Relationship Id="rId66" Type="http://schemas.openxmlformats.org/officeDocument/2006/relationships/hyperlink" Target="http://narodne-novine.nn.hr/clanci/sluzbeni/2009_03_31_683.html" TargetMode="External"/><Relationship Id="rId67" Type="http://schemas.openxmlformats.org/officeDocument/2006/relationships/hyperlink" Target="http://narodne-novine.nn.hr/clanci/sluzbeni/2009_12_156_3893.html" TargetMode="External"/><Relationship Id="rId68" Type="http://schemas.openxmlformats.org/officeDocument/2006/relationships/hyperlink" Target="http://narodne-novine.nn.hr/clanci/sluzbeni/2010_03_38_996.html" TargetMode="External"/><Relationship Id="rId69" Type="http://schemas.openxmlformats.org/officeDocument/2006/relationships/hyperlink" Target="http://narodne-novine.nn.hr/clanci/sluzbeni/2011_01_10_207.html" TargetMode="External"/><Relationship Id="rId70" Type="http://schemas.openxmlformats.org/officeDocument/2006/relationships/hyperlink" Target="http://narodne-novine.nn.hr/clanci/sluzbeni/2011_07_81_1750.html" TargetMode="External"/><Relationship Id="rId71" Type="http://schemas.openxmlformats.org/officeDocument/2006/relationships/hyperlink" Target="http://narodne-novine.nn.hr/clanci/sluzbeni/2011_11_126_2545.html" TargetMode="External"/><Relationship Id="rId72" Type="http://schemas.openxmlformats.org/officeDocument/2006/relationships/hyperlink" Target="http://narodne-novine.nn.hr/clanci/sluzbeni/2013_03_38_705.html" TargetMode="External"/><Relationship Id="rId73" Type="http://schemas.openxmlformats.org/officeDocument/2006/relationships/hyperlink" Target="http://narodne-novine.nn.hr/clanci/sluzbeni/2013_07_86_1935.html" TargetMode="External"/><Relationship Id="rId74" Type="http://schemas.openxmlformats.org/officeDocument/2006/relationships/hyperlink" Target="http://narodne-novine.nn.hr/clanci/sluzbeni/2015_08_88_1736.html" TargetMode="External"/><Relationship Id="rId75" Type="http://schemas.openxmlformats.org/officeDocument/2006/relationships/hyperlink" Target="http://narodne-novine.nn.hr/clanci/sluzbeni/2015_08_90_1757.html" TargetMode="External"/><Relationship Id="rId76" Type="http://schemas.openxmlformats.org/officeDocument/2006/relationships/hyperlink" Target="http://narodne-novine.nn.hr/clanci/sluzbeni/2015_09_95_1831.html" TargetMode="External"/><Relationship Id="rId77" Type="http://schemas.openxmlformats.org/officeDocument/2006/relationships/hyperlink" Target="http://narodne-novine.nn.hr/clanci/sluzbeni/2015_09_97_1872.html" TargetMode="External"/><Relationship Id="rId78" Type="http://schemas.openxmlformats.org/officeDocument/2006/relationships/hyperlink" Target="http://narodne-novine.nn.hr/clanci/sluzbeni/2015_09_99_1933.html" TargetMode="External"/><Relationship Id="rId79" Type="http://schemas.openxmlformats.org/officeDocument/2006/relationships/hyperlink" Target="http://narodne-novine.nn.hr/clanci/sluzbeni/2015_10_105_2051.html" TargetMode="External"/><Relationship Id="rId80" Type="http://schemas.openxmlformats.org/officeDocument/2006/relationships/hyperlink" Target="http://narodne-novine.nn.hr/clanci/sluzbeni/2015_10_111_2147.html" TargetMode="External"/><Relationship Id="rId81" Type="http://schemas.openxmlformats.org/officeDocument/2006/relationships/hyperlink" Target="http://narodne-novine.nn.hr/clanci/sluzbeni/128770.html" TargetMode="External"/><Relationship Id="rId82" Type="http://schemas.openxmlformats.org/officeDocument/2006/relationships/hyperlink" Target="http://narodne-novine.nn.hr/clanci/sluzbeni/2009_03_31_686.html" TargetMode="External"/><Relationship Id="rId83" Type="http://schemas.openxmlformats.org/officeDocument/2006/relationships/hyperlink" Target="http://narodne-novine.nn.hr/clanci/sluzbeni/2009_12_156_3894.html" TargetMode="External"/><Relationship Id="rId84" Type="http://schemas.openxmlformats.org/officeDocument/2006/relationships/hyperlink" Target="http://narodne-novine.nn.hr/clanci/sluzbeni/2012_04_45_1128.html" TargetMode="External"/><Relationship Id="rId85" Type="http://schemas.openxmlformats.org/officeDocument/2006/relationships/hyperlink" Target="http://narodne-novine.nn.hr/clanci/sluzbeni/2013_07_86_1932.html" TargetMode="External"/><Relationship Id="rId86" Type="http://schemas.openxmlformats.org/officeDocument/2006/relationships/hyperlink" Target="http://narodne-novine.nn.hr/clanci/sluzbeni/2015_10_112_2161.html" TargetMode="External"/><Relationship Id="rId87" Type="http://schemas.openxmlformats.org/officeDocument/2006/relationships/hyperlink" Target="http://narodne-novine.nn.hr/clanci/sluzbeni/2015_10_114_2184.html" TargetMode="External"/><Relationship Id="rId88" Type="http://schemas.openxmlformats.org/officeDocument/2006/relationships/hyperlink" Target="http://eur-lex.europa.eu/legal-content/HR/TXT/?uri=celex:32003D0033" TargetMode="External"/><Relationship Id="rId89" Type="http://schemas.openxmlformats.org/officeDocument/2006/relationships/hyperlink" Target="http://narodne-novine.nn.hr/clanci/sluzbeni/2015_11_125_2384.html" TargetMode="External"/><Relationship Id="rId90" Type="http://schemas.openxmlformats.org/officeDocument/2006/relationships/hyperlink" Target="http://narodne-novine.nn.hr/clanci/sluzbeni/2016_10_90_1914.html" TargetMode="External"/><Relationship Id="rId91" Type="http://schemas.openxmlformats.org/officeDocument/2006/relationships/hyperlink" Target="http://narodne-novine.nn.hr/clanci/sluzbeni/128820.html" TargetMode="External"/><Relationship Id="rId92" Type="http://schemas.openxmlformats.org/officeDocument/2006/relationships/hyperlink" Target="http://narodne-novine.nn.hr/clanci/sluzbeni/2009_03_31_685.html" TargetMode="External"/><Relationship Id="rId93" Type="http://schemas.openxmlformats.org/officeDocument/2006/relationships/hyperlink" Target="http://narodne-novine.nn.hr/clanci/sluzbeni/2009_12_156_3892.html" TargetMode="External"/><Relationship Id="rId94" Type="http://schemas.openxmlformats.org/officeDocument/2006/relationships/hyperlink" Target="http://narodne-novine.nn.hr/clanci/sluzbeni/2012_05_53_1339.html" TargetMode="External"/><Relationship Id="rId95" Type="http://schemas.openxmlformats.org/officeDocument/2006/relationships/hyperlink" Target="http://narodne-novine.nn.hr/clanci/sluzbeni/2013_07_86_1931.html" TargetMode="External"/><Relationship Id="rId96" Type="http://schemas.openxmlformats.org/officeDocument/2006/relationships/hyperlink" Target="http://narodne-novine.nn.hr/clanci/sluzbeni/2013_07_91_2059.html" TargetMode="External"/><Relationship Id="rId97" Type="http://schemas.openxmlformats.org/officeDocument/2006/relationships/hyperlink" Target="http://narodne-novine.nn.hr/clanci/sluzbeni/2016_03_20_586.html" TargetMode="External"/><Relationship Id="rId98" Type="http://schemas.openxmlformats.org/officeDocument/2006/relationships/hyperlink" Target="http://narodne-novine.nn.hr/clanci/sluzbeni/2016_07_69_1650.html" TargetMode="External"/><Relationship Id="rId99" Type="http://schemas.openxmlformats.org/officeDocument/2006/relationships/hyperlink" Target="http://narodne-novine.nn.hr/clanci/sluzbeni/2016_08_75_1755.html" TargetMode="External"/><Relationship Id="rId100" Type="http://schemas.openxmlformats.org/officeDocument/2006/relationships/hyperlink" Target="http://narodne-novine.nn.hr/clanci/sluzbeni/2016_12_113_2493.html" TargetMode="External"/><Relationship Id="rId101" Type="http://schemas.openxmlformats.org/officeDocument/2006/relationships/hyperlink" Target="http://narodne-novine.nn.hr/clanci/sluzbeni/2017_01_3_120.html" TargetMode="External"/><Relationship Id="rId102" Type="http://schemas.openxmlformats.org/officeDocument/2006/relationships/hyperlink" Target="http://eur-lex.europa.eu/legal-content/EN/TXT/?uri=CELEX:02006R1013-20160101" TargetMode="External"/><Relationship Id="rId103" Type="http://schemas.openxmlformats.org/officeDocument/2006/relationships/hyperlink" Target="http://eur-lex.europa.eu/legal-content/EN/TXT/?uri=CELEX:02007R1418-20140718" TargetMode="External"/><Relationship Id="rId104" Type="http://schemas.openxmlformats.org/officeDocument/2006/relationships/hyperlink" Target="http://eur-lex.europa.eu/legal-content/EN/TXT/?uri=CELEX:32016R1245" TargetMode="External"/><Relationship Id="rId105" Type="http://schemas.openxmlformats.org/officeDocument/2006/relationships/hyperlink" Target="http://narodne-novine.nn.hr/clanci/medunarodni/328757.html" TargetMode="External"/><Relationship Id="rId106" Type="http://schemas.openxmlformats.org/officeDocument/2006/relationships/numbering" Target="numbering.xml"/><Relationship Id="rId107" Type="http://schemas.openxmlformats.org/officeDocument/2006/relationships/fontTable" Target="fontTable.xml"/><Relationship Id="rId108" Type="http://schemas.openxmlformats.org/officeDocument/2006/relationships/settings" Target="settings.xml"/><Relationship Id="rId109" Type="http://schemas.openxmlformats.org/officeDocument/2006/relationships/theme" Target="theme/theme1.xml"/><Relationship Id="rId110"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2AD51-33F1-4A85-8B58-CE54E879A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Application>LibreOffice/5.2.3.3$Windows_x86 LibreOffice_project/d54a8868f08a7b39642414cf2c8ef2f228f780cf</Application>
  <Pages>45</Pages>
  <Words>9522</Words>
  <Characters>59130</Characters>
  <CharactersWithSpaces>68230</CharactersWithSpaces>
  <Paragraphs>731</Paragraphs>
  <Company>Hewlett-Packard</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2017-02-17T12:26:00Z</dcterms:created>
  <dc:creator>Dario</dc:creator>
  <dc:description/>
  <dc:language>hr-HR</dc:language>
  <cp:lastModifiedBy/>
  <cp:lastPrinted>2017-02-20T10:23:00Z</cp:lastPrinted>
  <dcterms:modified xsi:type="dcterms:W3CDTF">2017-03-08T11:52:15Z</dcterms:modified>
  <cp:revision>155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